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C3E7F" w14:textId="77777777" w:rsidR="00F1774C" w:rsidRPr="00F1774C" w:rsidRDefault="00F1774C" w:rsidP="00F1774C">
      <w:pPr>
        <w:pStyle w:val="NoSpacing"/>
        <w:rPr>
          <w:b/>
        </w:rPr>
      </w:pPr>
      <w:r w:rsidRPr="00F1774C">
        <w:rPr>
          <w:b/>
        </w:rPr>
        <w:t>Flowchart</w:t>
      </w:r>
    </w:p>
    <w:p w14:paraId="46467B28" w14:textId="77777777" w:rsidR="00F1774C" w:rsidRDefault="00F1774C" w:rsidP="00F1774C">
      <w:pPr>
        <w:pStyle w:val="NoSpacing"/>
      </w:pPr>
    </w:p>
    <w:tbl>
      <w:tblPr>
        <w:tblStyle w:val="TableGrid"/>
        <w:tblW w:w="10629" w:type="dxa"/>
        <w:tblLook w:val="04A0" w:firstRow="1" w:lastRow="0" w:firstColumn="1" w:lastColumn="0" w:noHBand="0" w:noVBand="1"/>
      </w:tblPr>
      <w:tblGrid>
        <w:gridCol w:w="799"/>
        <w:gridCol w:w="2858"/>
        <w:gridCol w:w="2342"/>
        <w:gridCol w:w="2346"/>
        <w:gridCol w:w="2284"/>
      </w:tblGrid>
      <w:tr w:rsidR="00936A2E" w14:paraId="493188D5" w14:textId="77777777" w:rsidTr="00273421">
        <w:tc>
          <w:tcPr>
            <w:tcW w:w="799" w:type="dxa"/>
          </w:tcPr>
          <w:p w14:paraId="50536A62" w14:textId="7493B718" w:rsidR="00936A2E" w:rsidRPr="00E159BB" w:rsidRDefault="00E1312B" w:rsidP="00D062D2">
            <w:pPr>
              <w:pStyle w:val="NoSpacing"/>
              <w:jc w:val="center"/>
            </w:pPr>
            <w:r w:rsidRPr="00E159BB">
              <w:t>0+</w:t>
            </w:r>
          </w:p>
        </w:tc>
        <w:tc>
          <w:tcPr>
            <w:tcW w:w="9830" w:type="dxa"/>
            <w:gridSpan w:val="4"/>
          </w:tcPr>
          <w:p w14:paraId="5A2686A4" w14:textId="7A3E37EB" w:rsidR="006B54DC" w:rsidRPr="006B54DC" w:rsidRDefault="006B54DC" w:rsidP="00936A2E">
            <w:pPr>
              <w:pStyle w:val="NoSpacing"/>
            </w:pPr>
            <w:r>
              <w:t xml:space="preserve">Your young person may be known to the following services, and </w:t>
            </w:r>
            <w:r w:rsidR="004777F5">
              <w:t xml:space="preserve">could </w:t>
            </w:r>
            <w:r>
              <w:t>be eligible for adult services. This flowchart sets out the transition process which will help you to prepare</w:t>
            </w:r>
            <w:r w:rsidR="00D612B2">
              <w:t xml:space="preserve"> you and</w:t>
            </w:r>
            <w:r w:rsidR="00E159BB">
              <w:t xml:space="preserve"> your child for adulthood.</w:t>
            </w:r>
          </w:p>
          <w:p w14:paraId="117D4506" w14:textId="0DCDAE08" w:rsidR="004777F5" w:rsidRDefault="004777F5" w:rsidP="004777F5">
            <w:pPr>
              <w:pStyle w:val="NoSpacing"/>
              <w:rPr>
                <w:b/>
              </w:rPr>
            </w:pPr>
          </w:p>
          <w:p w14:paraId="269A1AE3" w14:textId="0FD5731A" w:rsidR="004777F5" w:rsidRPr="004777F5" w:rsidRDefault="004777F5" w:rsidP="004777F5">
            <w:pPr>
              <w:pStyle w:val="NoSpacing"/>
            </w:pPr>
            <w:r w:rsidRPr="004777F5">
              <w:t xml:space="preserve">Children’s </w:t>
            </w:r>
            <w:r w:rsidR="00923420" w:rsidRPr="00557478">
              <w:t>S</w:t>
            </w:r>
            <w:r w:rsidR="00557478" w:rsidRPr="00557478">
              <w:t xml:space="preserve">pecial </w:t>
            </w:r>
            <w:r w:rsidR="00D243A3">
              <w:t>Educational Needs and D</w:t>
            </w:r>
            <w:r w:rsidR="00557478" w:rsidRPr="00557478">
              <w:t>isabilities</w:t>
            </w:r>
            <w:r w:rsidR="00923420" w:rsidRPr="00557478">
              <w:t xml:space="preserve"> </w:t>
            </w:r>
            <w:r w:rsidRPr="00557478">
              <w:t>Services</w:t>
            </w:r>
            <w:r w:rsidR="004634EE">
              <w:t xml:space="preserve"> include</w:t>
            </w:r>
            <w:r w:rsidRPr="004777F5">
              <w:t>:</w:t>
            </w:r>
          </w:p>
          <w:p w14:paraId="5E24E9A1" w14:textId="2CF61DF1" w:rsidR="00936A2E" w:rsidRPr="00B149BB" w:rsidRDefault="00936A2E" w:rsidP="00936A2E">
            <w:pPr>
              <w:pStyle w:val="NoSpacing"/>
              <w:numPr>
                <w:ilvl w:val="0"/>
                <w:numId w:val="6"/>
              </w:numPr>
            </w:pPr>
            <w:r w:rsidRPr="00B149BB">
              <w:t>Children with Disabilities</w:t>
            </w:r>
            <w:r w:rsidR="0077051D" w:rsidRPr="00B149BB">
              <w:t xml:space="preserve"> Service</w:t>
            </w:r>
            <w:r w:rsidR="00D612B2" w:rsidRPr="00B149BB">
              <w:t xml:space="preserve"> (Social Care)</w:t>
            </w:r>
            <w:r w:rsidR="00557478">
              <w:t xml:space="preserve"> </w:t>
            </w:r>
          </w:p>
          <w:p w14:paraId="35E75F84" w14:textId="62A89FD8" w:rsidR="00D612B2" w:rsidRPr="00B149BB" w:rsidRDefault="004777F5" w:rsidP="00557478">
            <w:pPr>
              <w:pStyle w:val="NoSpacing"/>
              <w:numPr>
                <w:ilvl w:val="0"/>
                <w:numId w:val="6"/>
              </w:numPr>
            </w:pPr>
            <w:r w:rsidRPr="00B149BB">
              <w:t>Specialist Community Health Services for Children and Young People (</w:t>
            </w:r>
            <w:r w:rsidR="00D612B2" w:rsidRPr="00B149BB">
              <w:t>Health)</w:t>
            </w:r>
            <w:r w:rsidR="00557478">
              <w:t xml:space="preserve"> which contains the following services</w:t>
            </w:r>
          </w:p>
          <w:p w14:paraId="284E6D6B" w14:textId="63DAF4D0" w:rsidR="00936A2E" w:rsidRDefault="00936A2E" w:rsidP="00557478">
            <w:pPr>
              <w:pStyle w:val="NoSpacing"/>
              <w:ind w:left="1440"/>
            </w:pPr>
            <w:r w:rsidRPr="00B149BB">
              <w:t>Redbridge Children’s Occupational Therapy</w:t>
            </w:r>
            <w:r w:rsidR="00D612B2" w:rsidRPr="00B149BB">
              <w:t xml:space="preserve"> (Health)</w:t>
            </w:r>
          </w:p>
          <w:p w14:paraId="61EEC366" w14:textId="4D9321CE" w:rsidR="00BA137E" w:rsidRDefault="00BA137E" w:rsidP="00557478">
            <w:pPr>
              <w:pStyle w:val="NoSpacing"/>
              <w:ind w:left="1440"/>
            </w:pPr>
            <w:r w:rsidRPr="00B149BB">
              <w:t>Redbridge</w:t>
            </w:r>
            <w:r>
              <w:t xml:space="preserve"> Children’s Physiotherapy (Health)</w:t>
            </w:r>
          </w:p>
          <w:p w14:paraId="4A49A192" w14:textId="118B2507" w:rsidR="00557478" w:rsidRPr="00B149BB" w:rsidRDefault="006E35AA" w:rsidP="00557478">
            <w:pPr>
              <w:pStyle w:val="NoSpacing"/>
              <w:ind w:left="1440"/>
            </w:pPr>
            <w:r>
              <w:t>Children’s Speech and Language Service</w:t>
            </w:r>
            <w:r w:rsidR="00BA137E">
              <w:t xml:space="preserve"> (Health)</w:t>
            </w:r>
          </w:p>
          <w:p w14:paraId="73676EAC" w14:textId="4E597A41" w:rsidR="00425724" w:rsidRDefault="00425724" w:rsidP="00557478">
            <w:pPr>
              <w:pStyle w:val="NoSpacing"/>
              <w:ind w:left="1440"/>
            </w:pPr>
            <w:r w:rsidRPr="00B149BB">
              <w:t>Redbridge Emotional Wellbeing and Mental Health Service (Health)</w:t>
            </w:r>
          </w:p>
          <w:p w14:paraId="59B3F22E" w14:textId="08C6B58C" w:rsidR="00BA137E" w:rsidRPr="00B149BB" w:rsidRDefault="00BA137E" w:rsidP="00BA137E">
            <w:pPr>
              <w:pStyle w:val="NoSpacing"/>
              <w:ind w:left="1440"/>
            </w:pPr>
            <w:r w:rsidRPr="00B149BB">
              <w:t>Redbridge</w:t>
            </w:r>
            <w:r>
              <w:t xml:space="preserve"> Community Paediatrics (Health)</w:t>
            </w:r>
          </w:p>
          <w:p w14:paraId="03866D2B" w14:textId="1075F93B" w:rsidR="00D612B2" w:rsidRDefault="006E35AA" w:rsidP="00936A2E">
            <w:pPr>
              <w:pStyle w:val="NoSpacing"/>
              <w:numPr>
                <w:ilvl w:val="0"/>
                <w:numId w:val="6"/>
              </w:numPr>
            </w:pPr>
            <w:r>
              <w:t>Access and Inclusion (</w:t>
            </w:r>
            <w:r w:rsidR="00E159BB" w:rsidRPr="00B149BB">
              <w:t>Special Educational Needs</w:t>
            </w:r>
            <w:r>
              <w:t xml:space="preserve">) </w:t>
            </w:r>
            <w:r w:rsidR="00E159BB" w:rsidRPr="00B149BB">
              <w:t>(Education)</w:t>
            </w:r>
          </w:p>
          <w:p w14:paraId="2B2518B4" w14:textId="571883F1" w:rsidR="00936A2E" w:rsidRPr="00D062D2" w:rsidRDefault="00936A2E" w:rsidP="00557478">
            <w:pPr>
              <w:pStyle w:val="NoSpacing"/>
              <w:ind w:left="720"/>
              <w:rPr>
                <w:b/>
              </w:rPr>
            </w:pPr>
          </w:p>
        </w:tc>
      </w:tr>
      <w:tr w:rsidR="00D062D2" w14:paraId="6DBFF050" w14:textId="77777777" w:rsidTr="00273421">
        <w:tc>
          <w:tcPr>
            <w:tcW w:w="799" w:type="dxa"/>
          </w:tcPr>
          <w:p w14:paraId="3667CB99" w14:textId="0A478378" w:rsidR="00D062D2" w:rsidRPr="00E159BB" w:rsidRDefault="0077051D" w:rsidP="00E159BB">
            <w:pPr>
              <w:pStyle w:val="NoSpacing"/>
            </w:pPr>
            <w:r w:rsidRPr="00E159BB">
              <w:t>13-14</w:t>
            </w:r>
          </w:p>
        </w:tc>
        <w:tc>
          <w:tcPr>
            <w:tcW w:w="9830" w:type="dxa"/>
            <w:gridSpan w:val="4"/>
          </w:tcPr>
          <w:p w14:paraId="491C81D6" w14:textId="4232236E" w:rsidR="003E7738" w:rsidRPr="00D062D2" w:rsidRDefault="00B149BB" w:rsidP="003E7738">
            <w:pPr>
              <w:pStyle w:val="NoSpacing"/>
              <w:jc w:val="center"/>
              <w:rPr>
                <w:b/>
              </w:rPr>
            </w:pPr>
            <w:r>
              <w:rPr>
                <w:b/>
              </w:rPr>
              <w:t>Year</w:t>
            </w:r>
            <w:r w:rsidR="00D062D2" w:rsidRPr="00D062D2">
              <w:rPr>
                <w:b/>
              </w:rPr>
              <w:t xml:space="preserve"> 9 </w:t>
            </w:r>
            <w:r w:rsidR="000859B7">
              <w:rPr>
                <w:b/>
              </w:rPr>
              <w:t>Education, Health and Care Plan (</w:t>
            </w:r>
            <w:r w:rsidR="00286E28">
              <w:rPr>
                <w:b/>
              </w:rPr>
              <w:t>EHCP</w:t>
            </w:r>
            <w:r w:rsidR="000859B7">
              <w:rPr>
                <w:b/>
              </w:rPr>
              <w:t>)</w:t>
            </w:r>
            <w:r w:rsidR="00286E28">
              <w:rPr>
                <w:b/>
              </w:rPr>
              <w:t xml:space="preserve"> </w:t>
            </w:r>
            <w:r w:rsidR="00D062D2" w:rsidRPr="00D062D2">
              <w:rPr>
                <w:b/>
              </w:rPr>
              <w:t>Annual Review</w:t>
            </w:r>
          </w:p>
          <w:p w14:paraId="2150DACE" w14:textId="059E1D56" w:rsidR="00705D22" w:rsidRPr="00EF7C1F" w:rsidRDefault="00936A2E" w:rsidP="00705D22">
            <w:pPr>
              <w:pStyle w:val="NoSpacing"/>
              <w:rPr>
                <w:highlight w:val="yellow"/>
              </w:rPr>
            </w:pPr>
            <w:r>
              <w:t>If</w:t>
            </w:r>
            <w:r w:rsidR="00B149BB">
              <w:t xml:space="preserve"> your young person has an E</w:t>
            </w:r>
            <w:r w:rsidR="00933DC5">
              <w:t>ducation, Health and Care Plan (EHCP)</w:t>
            </w:r>
            <w:r w:rsidR="00B149BB">
              <w:t>,</w:t>
            </w:r>
            <w:r w:rsidRPr="00936A2E">
              <w:t xml:space="preserve"> </w:t>
            </w:r>
            <w:r>
              <w:t xml:space="preserve">planning for adulthood </w:t>
            </w:r>
            <w:r w:rsidR="00B149BB">
              <w:t xml:space="preserve">will start </w:t>
            </w:r>
            <w:r>
              <w:t>from year 9 (age 13/14)</w:t>
            </w:r>
            <w:r w:rsidR="00705D22">
              <w:t xml:space="preserve">. </w:t>
            </w:r>
            <w:r w:rsidR="00705D22" w:rsidRPr="00557478">
              <w:t xml:space="preserve">This </w:t>
            </w:r>
            <w:r w:rsidR="000C6BFD" w:rsidRPr="00557478">
              <w:t xml:space="preserve">year 9 review should focus on Preparing for </w:t>
            </w:r>
            <w:r w:rsidR="00705D22" w:rsidRPr="00557478">
              <w:t>A</w:t>
            </w:r>
            <w:r w:rsidR="000C6BFD" w:rsidRPr="00557478">
              <w:t>dulthood (PFA)</w:t>
            </w:r>
            <w:r w:rsidR="004634EE">
              <w:t xml:space="preserve"> </w:t>
            </w:r>
            <w:r w:rsidR="000859B7">
              <w:t>including:</w:t>
            </w:r>
          </w:p>
          <w:p w14:paraId="35E6E056" w14:textId="77777777" w:rsidR="00705D22" w:rsidRPr="00557478" w:rsidRDefault="00705D22" w:rsidP="00705D22">
            <w:pPr>
              <w:pStyle w:val="NoSpacing"/>
              <w:numPr>
                <w:ilvl w:val="0"/>
                <w:numId w:val="11"/>
              </w:numPr>
            </w:pPr>
            <w:r w:rsidRPr="00557478">
              <w:t>Employment;</w:t>
            </w:r>
          </w:p>
          <w:p w14:paraId="7539125D" w14:textId="77777777" w:rsidR="00705D22" w:rsidRPr="00557478" w:rsidRDefault="00705D22" w:rsidP="00705D22">
            <w:pPr>
              <w:pStyle w:val="NoSpacing"/>
              <w:numPr>
                <w:ilvl w:val="0"/>
                <w:numId w:val="11"/>
              </w:numPr>
            </w:pPr>
            <w:r w:rsidRPr="00557478">
              <w:t>Independent Living;</w:t>
            </w:r>
          </w:p>
          <w:p w14:paraId="298272CC" w14:textId="77777777" w:rsidR="00705D22" w:rsidRPr="00557478" w:rsidRDefault="00705D22" w:rsidP="00705D22">
            <w:pPr>
              <w:pStyle w:val="NoSpacing"/>
              <w:numPr>
                <w:ilvl w:val="0"/>
                <w:numId w:val="11"/>
              </w:numPr>
            </w:pPr>
            <w:r w:rsidRPr="00557478">
              <w:t>Good Health;</w:t>
            </w:r>
          </w:p>
          <w:p w14:paraId="0C7ABD13" w14:textId="77777777" w:rsidR="00705D22" w:rsidRPr="00557478" w:rsidRDefault="00705D22" w:rsidP="00705D22">
            <w:pPr>
              <w:pStyle w:val="NoSpacing"/>
              <w:numPr>
                <w:ilvl w:val="0"/>
                <w:numId w:val="11"/>
              </w:numPr>
            </w:pPr>
            <w:r w:rsidRPr="00557478">
              <w:t>Friendships, relationships and community participation.</w:t>
            </w:r>
          </w:p>
          <w:p w14:paraId="7B363823" w14:textId="77777777" w:rsidR="00BA137E" w:rsidRDefault="00705D22" w:rsidP="00B149BB">
            <w:pPr>
              <w:pStyle w:val="NoSpacing"/>
            </w:pPr>
            <w:r w:rsidRPr="00557478">
              <w:t>Transition must be part of the Annual Review and pathway planning discussion related to Education, Health and Social Care Services.</w:t>
            </w:r>
          </w:p>
          <w:p w14:paraId="2E076BD1" w14:textId="6A148F6C" w:rsidR="00BA137E" w:rsidRPr="00D062D2" w:rsidRDefault="00BA137E" w:rsidP="00B149BB">
            <w:pPr>
              <w:pStyle w:val="NoSpacing"/>
            </w:pPr>
            <w:r>
              <w:t>If your young person has any diagnoses’ they must be communicated to the council and discussed at the Annual Review.</w:t>
            </w:r>
          </w:p>
        </w:tc>
      </w:tr>
      <w:tr w:rsidR="00CD3FCC" w14:paraId="06710FE1" w14:textId="77777777" w:rsidTr="00273421">
        <w:tc>
          <w:tcPr>
            <w:tcW w:w="799" w:type="dxa"/>
            <w:vMerge w:val="restart"/>
          </w:tcPr>
          <w:p w14:paraId="36BD6223" w14:textId="16F3926C" w:rsidR="00CD3FCC" w:rsidRDefault="00CD3FCC" w:rsidP="00A46731">
            <w:pPr>
              <w:pStyle w:val="NoSpacing"/>
            </w:pPr>
            <w:r>
              <w:t>14</w:t>
            </w:r>
          </w:p>
        </w:tc>
        <w:tc>
          <w:tcPr>
            <w:tcW w:w="9830" w:type="dxa"/>
            <w:gridSpan w:val="4"/>
          </w:tcPr>
          <w:p w14:paraId="047B784B" w14:textId="77777777" w:rsidR="00CD3FCC" w:rsidRDefault="00CD3FCC" w:rsidP="00CD3FCC">
            <w:pPr>
              <w:pStyle w:val="NoSpacing"/>
              <w:jc w:val="center"/>
              <w:rPr>
                <w:b/>
              </w:rPr>
            </w:pPr>
            <w:r>
              <w:rPr>
                <w:b/>
              </w:rPr>
              <w:t>Annual Health Checks</w:t>
            </w:r>
          </w:p>
          <w:p w14:paraId="1A6A98B5" w14:textId="7E854EFD" w:rsidR="00C6767D" w:rsidRPr="00CD3FCC" w:rsidRDefault="00C6767D" w:rsidP="00C6767D">
            <w:pPr>
              <w:pStyle w:val="NoSpacing"/>
            </w:pPr>
            <w:r>
              <w:t>Annual health checks are for adults and young people aged 14 or over with a learning disability, and should be scheduled yearly from 14 with their GP.</w:t>
            </w:r>
            <w:r w:rsidR="000A2CDC">
              <w:t xml:space="preserve"> For others with disabilities, general health checks should be considered as appropriate. </w:t>
            </w:r>
          </w:p>
        </w:tc>
      </w:tr>
      <w:tr w:rsidR="00CD3FCC" w14:paraId="083B05D8" w14:textId="77777777" w:rsidTr="00273421">
        <w:tc>
          <w:tcPr>
            <w:tcW w:w="799" w:type="dxa"/>
            <w:vMerge/>
          </w:tcPr>
          <w:p w14:paraId="6B2A03EB" w14:textId="77777777" w:rsidR="00CD3FCC" w:rsidRDefault="00CD3FCC" w:rsidP="00A46731">
            <w:pPr>
              <w:pStyle w:val="NoSpacing"/>
            </w:pPr>
          </w:p>
        </w:tc>
        <w:tc>
          <w:tcPr>
            <w:tcW w:w="9830" w:type="dxa"/>
            <w:gridSpan w:val="4"/>
          </w:tcPr>
          <w:p w14:paraId="248B30B8" w14:textId="77777777" w:rsidR="00CD3FCC" w:rsidRDefault="00CD3FCC" w:rsidP="00CD3FCC">
            <w:pPr>
              <w:pStyle w:val="NoSpacing"/>
              <w:jc w:val="center"/>
              <w:rPr>
                <w:b/>
              </w:rPr>
            </w:pPr>
            <w:r>
              <w:rPr>
                <w:b/>
              </w:rPr>
              <w:t>Continuing Healthcare Checklist</w:t>
            </w:r>
          </w:p>
          <w:p w14:paraId="45E54954" w14:textId="1E3097D8" w:rsidR="00C6767D" w:rsidRPr="000859B7" w:rsidRDefault="003E2011" w:rsidP="00CD3FCC">
            <w:pPr>
              <w:pStyle w:val="NoSpacing"/>
              <w:rPr>
                <w:highlight w:val="yellow"/>
              </w:rPr>
            </w:pPr>
            <w:bookmarkStart w:id="0" w:name="_Hlk66719162"/>
            <w:r w:rsidRPr="003E2011">
              <w:t>Children with Disabilities team will get in touch with you to complete a Co</w:t>
            </w:r>
            <w:r w:rsidR="00557478">
              <w:t xml:space="preserve">ntinuing Healthcare Checklist. You </w:t>
            </w:r>
            <w:r w:rsidR="0054486C">
              <w:t xml:space="preserve">may need to keep a record of behaviours or health needs as evidence for the CHC checklist. The </w:t>
            </w:r>
            <w:r w:rsidR="00557478">
              <w:t>t</w:t>
            </w:r>
            <w:r w:rsidR="0054486C">
              <w:t xml:space="preserve">ransition worker will need to sit with the parent/carer and complete the checklist. </w:t>
            </w:r>
            <w:bookmarkEnd w:id="0"/>
          </w:p>
        </w:tc>
      </w:tr>
      <w:tr w:rsidR="00D062D2" w14:paraId="63724538" w14:textId="77777777" w:rsidTr="00273421">
        <w:tc>
          <w:tcPr>
            <w:tcW w:w="799" w:type="dxa"/>
          </w:tcPr>
          <w:p w14:paraId="10DED31F" w14:textId="3250606D" w:rsidR="00D062D2" w:rsidRDefault="00D062D2" w:rsidP="00A46731">
            <w:pPr>
              <w:pStyle w:val="NoSpacing"/>
            </w:pPr>
          </w:p>
        </w:tc>
        <w:tc>
          <w:tcPr>
            <w:tcW w:w="9830" w:type="dxa"/>
            <w:gridSpan w:val="4"/>
          </w:tcPr>
          <w:p w14:paraId="2B0F4528" w14:textId="5AB69F2D" w:rsidR="000859B7" w:rsidRPr="000859B7" w:rsidRDefault="000859B7" w:rsidP="000859B7">
            <w:pPr>
              <w:pStyle w:val="NoSpacing"/>
              <w:jc w:val="center"/>
              <w:rPr>
                <w:b/>
              </w:rPr>
            </w:pPr>
            <w:r>
              <w:rPr>
                <w:b/>
              </w:rPr>
              <w:t xml:space="preserve">Information and Advice </w:t>
            </w:r>
          </w:p>
          <w:p w14:paraId="198112FD" w14:textId="37D2BFA7" w:rsidR="00D062D2" w:rsidRPr="00D062D2" w:rsidRDefault="00D062D2" w:rsidP="00D062D2">
            <w:pPr>
              <w:pStyle w:val="NoSpacing"/>
            </w:pPr>
            <w:r w:rsidRPr="00D062D2">
              <w:t xml:space="preserve">Explore </w:t>
            </w:r>
            <w:r>
              <w:t>opportunities wi</w:t>
            </w:r>
            <w:r w:rsidRPr="00D062D2">
              <w:t>th your young person, using the following resources:</w:t>
            </w:r>
          </w:p>
          <w:p w14:paraId="07C230D5" w14:textId="6D96E19B" w:rsidR="00D062D2" w:rsidRPr="00D062D2" w:rsidRDefault="00D062D2" w:rsidP="00D062D2">
            <w:pPr>
              <w:pStyle w:val="NoSpacing"/>
              <w:numPr>
                <w:ilvl w:val="0"/>
                <w:numId w:val="5"/>
              </w:numPr>
            </w:pPr>
            <w:r w:rsidRPr="00D062D2">
              <w:t>Local Offer website</w:t>
            </w:r>
          </w:p>
          <w:p w14:paraId="06AAD9CD" w14:textId="4685525E" w:rsidR="003E7738" w:rsidRPr="00D062D2" w:rsidRDefault="00D062D2" w:rsidP="00933DC5">
            <w:pPr>
              <w:pStyle w:val="NoSpacing"/>
              <w:numPr>
                <w:ilvl w:val="0"/>
                <w:numId w:val="5"/>
              </w:numPr>
            </w:pPr>
            <w:r w:rsidRPr="00D062D2">
              <w:t>Redbridge Information, Advice and Support Service for S</w:t>
            </w:r>
            <w:r w:rsidR="00D243A3">
              <w:t xml:space="preserve">pecial </w:t>
            </w:r>
            <w:r w:rsidRPr="00D062D2">
              <w:t>E</w:t>
            </w:r>
            <w:r w:rsidR="00D243A3">
              <w:t xml:space="preserve">ducational </w:t>
            </w:r>
            <w:r w:rsidRPr="00D062D2">
              <w:t>N</w:t>
            </w:r>
            <w:r w:rsidR="00D243A3">
              <w:t xml:space="preserve">eeds </w:t>
            </w:r>
            <w:r w:rsidRPr="00D062D2">
              <w:t>D</w:t>
            </w:r>
            <w:r w:rsidR="00D243A3">
              <w:t xml:space="preserve">isabilities </w:t>
            </w:r>
          </w:p>
        </w:tc>
      </w:tr>
      <w:tr w:rsidR="00273421" w14:paraId="4D6A40F6" w14:textId="77777777" w:rsidTr="00273421">
        <w:tc>
          <w:tcPr>
            <w:tcW w:w="799" w:type="dxa"/>
          </w:tcPr>
          <w:p w14:paraId="00D6C7A9" w14:textId="18CFA896" w:rsidR="00273421" w:rsidRDefault="00273421" w:rsidP="00A46731">
            <w:pPr>
              <w:pStyle w:val="NoSpacing"/>
            </w:pPr>
            <w:r>
              <w:t>15-16</w:t>
            </w:r>
          </w:p>
        </w:tc>
        <w:tc>
          <w:tcPr>
            <w:tcW w:w="9830" w:type="dxa"/>
            <w:gridSpan w:val="4"/>
          </w:tcPr>
          <w:p w14:paraId="7B0B41B5" w14:textId="64AF38D6" w:rsidR="000859B7" w:rsidRPr="004634EE" w:rsidRDefault="00273421" w:rsidP="000859B7">
            <w:pPr>
              <w:pStyle w:val="NoSpacing"/>
              <w:jc w:val="center"/>
              <w:rPr>
                <w:b/>
              </w:rPr>
            </w:pPr>
            <w:r w:rsidRPr="004634EE">
              <w:rPr>
                <w:b/>
              </w:rPr>
              <w:t>S</w:t>
            </w:r>
            <w:r w:rsidR="00D243A3" w:rsidRPr="004634EE">
              <w:rPr>
                <w:b/>
              </w:rPr>
              <w:t xml:space="preserve">pecial </w:t>
            </w:r>
            <w:r w:rsidRPr="004634EE">
              <w:rPr>
                <w:b/>
              </w:rPr>
              <w:t>E</w:t>
            </w:r>
            <w:r w:rsidR="00D243A3" w:rsidRPr="004634EE">
              <w:rPr>
                <w:b/>
              </w:rPr>
              <w:t xml:space="preserve">ducational </w:t>
            </w:r>
            <w:r w:rsidRPr="004634EE">
              <w:rPr>
                <w:b/>
              </w:rPr>
              <w:t>N</w:t>
            </w:r>
            <w:r w:rsidR="00D243A3" w:rsidRPr="004634EE">
              <w:rPr>
                <w:b/>
              </w:rPr>
              <w:t xml:space="preserve">eeds and </w:t>
            </w:r>
            <w:r w:rsidRPr="004634EE">
              <w:rPr>
                <w:b/>
              </w:rPr>
              <w:t>D</w:t>
            </w:r>
            <w:r w:rsidR="00D243A3" w:rsidRPr="004634EE">
              <w:rPr>
                <w:b/>
              </w:rPr>
              <w:t>isabilities (SEND) Preparing for Adulthood</w:t>
            </w:r>
            <w:r w:rsidRPr="004634EE">
              <w:rPr>
                <w:b/>
              </w:rPr>
              <w:t xml:space="preserve"> </w:t>
            </w:r>
            <w:r w:rsidR="00D243A3" w:rsidRPr="004634EE">
              <w:rPr>
                <w:b/>
              </w:rPr>
              <w:t>(</w:t>
            </w:r>
            <w:proofErr w:type="spellStart"/>
            <w:r w:rsidRPr="004634EE">
              <w:rPr>
                <w:b/>
              </w:rPr>
              <w:t>PfA</w:t>
            </w:r>
            <w:proofErr w:type="spellEnd"/>
            <w:r w:rsidR="00D243A3" w:rsidRPr="004634EE">
              <w:rPr>
                <w:b/>
              </w:rPr>
              <w:t xml:space="preserve">) </w:t>
            </w:r>
          </w:p>
          <w:p w14:paraId="1DA7CBEA" w14:textId="4D31C3D9" w:rsidR="00273421" w:rsidRPr="00826212" w:rsidRDefault="00ED4BC8" w:rsidP="00273421">
            <w:pPr>
              <w:pStyle w:val="NoSpacing"/>
            </w:pPr>
            <w:r>
              <w:t>During the E</w:t>
            </w:r>
            <w:r w:rsidR="00D243A3">
              <w:t xml:space="preserve">ducation </w:t>
            </w:r>
            <w:r>
              <w:t>H</w:t>
            </w:r>
            <w:r w:rsidR="00D243A3">
              <w:t xml:space="preserve">ealth and </w:t>
            </w:r>
            <w:r>
              <w:t>C</w:t>
            </w:r>
            <w:r w:rsidR="00D243A3">
              <w:t xml:space="preserve">are </w:t>
            </w:r>
            <w:r>
              <w:t>P</w:t>
            </w:r>
            <w:r w:rsidR="00D243A3">
              <w:t>lan</w:t>
            </w:r>
            <w:r>
              <w:t xml:space="preserve"> annual review</w:t>
            </w:r>
            <w:r w:rsidR="00273421" w:rsidRPr="00D243A3">
              <w:t>, discussion will be around pathway planning to either further education, employment or transition to adult services.</w:t>
            </w:r>
            <w:r w:rsidR="00273421" w:rsidRPr="00826212">
              <w:t xml:space="preserve"> </w:t>
            </w:r>
          </w:p>
          <w:p w14:paraId="4AB64462" w14:textId="31244F0C" w:rsidR="00273421" w:rsidRPr="00D062D2" w:rsidRDefault="00273421" w:rsidP="00273421">
            <w:pPr>
              <w:pStyle w:val="NoSpacing"/>
            </w:pPr>
            <w:r w:rsidRPr="00D243A3">
              <w:t>The S</w:t>
            </w:r>
            <w:r w:rsidR="00D243A3">
              <w:t xml:space="preserve">pecial </w:t>
            </w:r>
            <w:r w:rsidRPr="00D243A3">
              <w:t>E</w:t>
            </w:r>
            <w:r w:rsidR="00D243A3">
              <w:t xml:space="preserve">ducational </w:t>
            </w:r>
            <w:r w:rsidRPr="00D243A3">
              <w:t>N</w:t>
            </w:r>
            <w:r w:rsidR="00D243A3">
              <w:t>eeds and Disabilities</w:t>
            </w:r>
            <w:r w:rsidRPr="00D243A3">
              <w:t xml:space="preserve"> </w:t>
            </w:r>
            <w:r w:rsidR="00D243A3">
              <w:t xml:space="preserve">(SEND) and </w:t>
            </w:r>
            <w:r w:rsidRPr="00D243A3">
              <w:t>P</w:t>
            </w:r>
            <w:r w:rsidR="00D243A3">
              <w:t>reparing for Adulthood (</w:t>
            </w:r>
            <w:proofErr w:type="spellStart"/>
            <w:r w:rsidR="00D243A3">
              <w:t>PfA</w:t>
            </w:r>
            <w:proofErr w:type="spellEnd"/>
            <w:r w:rsidR="00D243A3">
              <w:t xml:space="preserve">) </w:t>
            </w:r>
            <w:r w:rsidRPr="00D243A3">
              <w:t>team will provide further information regarding processes and formal placement consultation.</w:t>
            </w:r>
          </w:p>
        </w:tc>
      </w:tr>
      <w:tr w:rsidR="004634EE" w14:paraId="720156B0" w14:textId="77777777" w:rsidTr="00273421">
        <w:tc>
          <w:tcPr>
            <w:tcW w:w="799" w:type="dxa"/>
          </w:tcPr>
          <w:p w14:paraId="12C6E561" w14:textId="4A1C4C64" w:rsidR="004634EE" w:rsidRDefault="004634EE" w:rsidP="004634EE">
            <w:pPr>
              <w:pStyle w:val="NoSpacing"/>
            </w:pPr>
            <w:r>
              <w:t>16+</w:t>
            </w:r>
          </w:p>
        </w:tc>
        <w:tc>
          <w:tcPr>
            <w:tcW w:w="9830" w:type="dxa"/>
            <w:gridSpan w:val="4"/>
          </w:tcPr>
          <w:p w14:paraId="5BC99074" w14:textId="1A17CF3A" w:rsidR="000859B7" w:rsidRPr="000859B7" w:rsidRDefault="000859B7" w:rsidP="004634EE">
            <w:pPr>
              <w:pStyle w:val="NoSpacing"/>
              <w:jc w:val="center"/>
              <w:rPr>
                <w:b/>
                <w:bCs/>
              </w:rPr>
            </w:pPr>
            <w:r w:rsidRPr="000859B7">
              <w:rPr>
                <w:b/>
                <w:bCs/>
              </w:rPr>
              <w:t xml:space="preserve">Information and Advice </w:t>
            </w:r>
          </w:p>
          <w:p w14:paraId="735A8085" w14:textId="78398031" w:rsidR="000859B7" w:rsidRPr="009C3FC7" w:rsidRDefault="004634EE" w:rsidP="009C3FC7">
            <w:pPr>
              <w:pStyle w:val="NoSpacing"/>
              <w:jc w:val="center"/>
              <w:rPr>
                <w:bCs/>
              </w:rPr>
            </w:pPr>
            <w:r>
              <w:rPr>
                <w:bCs/>
              </w:rPr>
              <w:t>Year 11 pupils in borough schools and according to their settings will receive information advice and guidance from Connexions on further education, training and employment options.</w:t>
            </w:r>
          </w:p>
        </w:tc>
      </w:tr>
      <w:tr w:rsidR="004634EE" w14:paraId="226D0E1F" w14:textId="77777777" w:rsidTr="00273421">
        <w:tc>
          <w:tcPr>
            <w:tcW w:w="799" w:type="dxa"/>
          </w:tcPr>
          <w:p w14:paraId="31A282F0" w14:textId="23C71131" w:rsidR="004634EE" w:rsidRDefault="004634EE" w:rsidP="004634EE">
            <w:pPr>
              <w:pStyle w:val="NoSpacing"/>
            </w:pPr>
            <w:r>
              <w:t>17.5</w:t>
            </w:r>
          </w:p>
        </w:tc>
        <w:tc>
          <w:tcPr>
            <w:tcW w:w="9830" w:type="dxa"/>
            <w:gridSpan w:val="4"/>
          </w:tcPr>
          <w:p w14:paraId="6CB77C72" w14:textId="54D239D1" w:rsidR="004634EE" w:rsidRDefault="004634EE" w:rsidP="004634EE">
            <w:pPr>
              <w:pStyle w:val="NoSpacing"/>
              <w:jc w:val="center"/>
              <w:rPr>
                <w:b/>
              </w:rPr>
            </w:pPr>
            <w:r>
              <w:rPr>
                <w:b/>
              </w:rPr>
              <w:t>Transition Assessment for Adult Social Care</w:t>
            </w:r>
          </w:p>
          <w:p w14:paraId="1E8736BD" w14:textId="7BD2EC2C" w:rsidR="004634EE" w:rsidRPr="00CD5C11" w:rsidRDefault="004634EE" w:rsidP="004634EE">
            <w:pPr>
              <w:pStyle w:val="NoSpacing"/>
            </w:pPr>
            <w:r>
              <w:t>If your young person is known to the Children with Disabilities Team, a Transition Assessment will take place to assess whether they are eligible for Adult Social Care services and support.</w:t>
            </w:r>
          </w:p>
          <w:p w14:paraId="28AC718B" w14:textId="67F7FE34" w:rsidR="004634EE" w:rsidRDefault="004634EE" w:rsidP="004634EE">
            <w:pPr>
              <w:pStyle w:val="NoSpacing"/>
            </w:pPr>
          </w:p>
          <w:p w14:paraId="0317B0AB" w14:textId="77777777" w:rsidR="004634EE" w:rsidRDefault="004634EE" w:rsidP="004634EE">
            <w:pPr>
              <w:pStyle w:val="NoSpacing"/>
            </w:pPr>
            <w:r>
              <w:t xml:space="preserve">At this point, you will be supported to complete a </w:t>
            </w:r>
            <w:hyperlink r:id="rId6" w:history="1">
              <w:r w:rsidRPr="003E7738">
                <w:rPr>
                  <w:rStyle w:val="Hyperlink"/>
                </w:rPr>
                <w:t>Financial Assessment</w:t>
              </w:r>
            </w:hyperlink>
            <w:r>
              <w:t>.</w:t>
            </w:r>
          </w:p>
          <w:p w14:paraId="35BBDCF0" w14:textId="77777777" w:rsidR="004634EE" w:rsidRDefault="004634EE" w:rsidP="004634EE">
            <w:pPr>
              <w:pStyle w:val="NoSpacing"/>
            </w:pPr>
          </w:p>
          <w:p w14:paraId="6280EA97" w14:textId="091CBD71" w:rsidR="004634EE" w:rsidRDefault="000859B7" w:rsidP="004634EE">
            <w:pPr>
              <w:pStyle w:val="NoSpacing"/>
              <w:numPr>
                <w:ilvl w:val="0"/>
                <w:numId w:val="9"/>
              </w:numPr>
            </w:pPr>
            <w:r>
              <w:t>If your young person</w:t>
            </w:r>
            <w:r w:rsidR="004634EE">
              <w:t xml:space="preserve"> meet</w:t>
            </w:r>
            <w:r>
              <w:t>s</w:t>
            </w:r>
            <w:r w:rsidR="004634EE">
              <w:t xml:space="preserve"> the service criteria, a </w:t>
            </w:r>
            <w:r w:rsidR="004634EE" w:rsidRPr="00C14CFE">
              <w:rPr>
                <w:b/>
              </w:rPr>
              <w:t>Care and Support Plan</w:t>
            </w:r>
            <w:r w:rsidR="004634EE">
              <w:t xml:space="preserve"> will be completed and the young person will be referred into the relevant service. </w:t>
            </w:r>
          </w:p>
          <w:p w14:paraId="5506AB80" w14:textId="77777777" w:rsidR="004634EE" w:rsidRDefault="004634EE" w:rsidP="004634EE">
            <w:pPr>
              <w:pStyle w:val="NoSpacing"/>
              <w:ind w:left="720"/>
            </w:pPr>
          </w:p>
          <w:p w14:paraId="338A85FC" w14:textId="77777777" w:rsidR="000859B7" w:rsidRDefault="004634EE" w:rsidP="000859B7">
            <w:pPr>
              <w:pStyle w:val="NoSpacing"/>
              <w:ind w:left="720"/>
            </w:pPr>
            <w:r>
              <w:lastRenderedPageBreak/>
              <w:t>The Transition Assessment and the Care and Support Plan will be sent to you, along with the relevant contact details for Health and Adult Social Services. Where relevant, your young person’s GP will also receive a letter describing the update to service.</w:t>
            </w:r>
          </w:p>
          <w:p w14:paraId="74059D0F" w14:textId="77777777" w:rsidR="000859B7" w:rsidRDefault="000859B7" w:rsidP="000859B7">
            <w:pPr>
              <w:pStyle w:val="NoSpacing"/>
              <w:ind w:left="720"/>
            </w:pPr>
          </w:p>
          <w:p w14:paraId="475B9D03" w14:textId="6442DC2D" w:rsidR="004634EE" w:rsidRDefault="004634EE" w:rsidP="000859B7">
            <w:pPr>
              <w:pStyle w:val="NoSpacing"/>
              <w:ind w:left="720"/>
            </w:pPr>
            <w:r>
              <w:t xml:space="preserve">It is important to note that there will not be an allocated worker in </w:t>
            </w:r>
            <w:proofErr w:type="gramStart"/>
            <w:r>
              <w:t>Adults</w:t>
            </w:r>
            <w:proofErr w:type="gramEnd"/>
            <w:r>
              <w:t xml:space="preserve"> at the point of transfer, but there are contact details below for each of the localities.</w:t>
            </w:r>
          </w:p>
          <w:p w14:paraId="6F6337BD" w14:textId="77777777" w:rsidR="000859B7" w:rsidRDefault="000859B7" w:rsidP="004634EE">
            <w:pPr>
              <w:pStyle w:val="NoSpacing"/>
              <w:ind w:left="720"/>
            </w:pPr>
          </w:p>
          <w:p w14:paraId="68084B58" w14:textId="5AA01164" w:rsidR="004634EE" w:rsidRDefault="000859B7" w:rsidP="004634EE">
            <w:pPr>
              <w:pStyle w:val="ListParagraph"/>
              <w:numPr>
                <w:ilvl w:val="0"/>
                <w:numId w:val="9"/>
              </w:numPr>
            </w:pPr>
            <w:r>
              <w:t>If a young person receives 100% CCG funding which begins on their 18</w:t>
            </w:r>
            <w:r w:rsidRPr="000859B7">
              <w:rPr>
                <w:vertAlign w:val="superscript"/>
              </w:rPr>
              <w:t>th</w:t>
            </w:r>
            <w:r>
              <w:t xml:space="preserve"> birthday, their case may close to social care on their 18</w:t>
            </w:r>
            <w:r w:rsidRPr="000859B7">
              <w:rPr>
                <w:vertAlign w:val="superscript"/>
              </w:rPr>
              <w:t>th</w:t>
            </w:r>
            <w:r>
              <w:t xml:space="preserve"> </w:t>
            </w:r>
            <w:r w:rsidRPr="00D243A3">
              <w:t xml:space="preserve">birthday, however there are circumstances where they may remain open to the Learning disability service. </w:t>
            </w:r>
            <w:proofErr w:type="gramStart"/>
            <w:r w:rsidRPr="00D243A3">
              <w:t>A</w:t>
            </w:r>
            <w:proofErr w:type="gramEnd"/>
            <w:r w:rsidRPr="00D243A3">
              <w:t xml:space="preserve"> outcome letter is sent to parents/carers by the CCG to advise what funding the young person is receiving.</w:t>
            </w:r>
            <w:r>
              <w:t xml:space="preserve"> </w:t>
            </w:r>
          </w:p>
          <w:p w14:paraId="70B0DEED" w14:textId="157483DF" w:rsidR="004634EE" w:rsidRDefault="004634EE" w:rsidP="004634EE">
            <w:pPr>
              <w:pStyle w:val="NoSpacing"/>
              <w:numPr>
                <w:ilvl w:val="0"/>
                <w:numId w:val="7"/>
              </w:numPr>
            </w:pPr>
            <w:r w:rsidRPr="00B21A08">
              <w:t>If they are not eligible, the young person’s</w:t>
            </w:r>
            <w:r>
              <w:t xml:space="preserve"> case will be closed</w:t>
            </w:r>
            <w:r w:rsidRPr="00B21A08">
              <w:t xml:space="preserve">. </w:t>
            </w:r>
            <w:r>
              <w:t xml:space="preserve">Your young person can access </w:t>
            </w:r>
            <w:r w:rsidRPr="00B21A08">
              <w:t xml:space="preserve">universal services </w:t>
            </w:r>
            <w:r>
              <w:t xml:space="preserve">which you can find out more about </w:t>
            </w:r>
            <w:r w:rsidRPr="00B21A08">
              <w:t>either on Local Offer website or by contacting RIASS (information below).</w:t>
            </w:r>
          </w:p>
          <w:p w14:paraId="31F3C5E6" w14:textId="77777777" w:rsidR="004634EE" w:rsidRDefault="004634EE" w:rsidP="004634EE">
            <w:pPr>
              <w:pStyle w:val="NoSpacing"/>
              <w:ind w:left="720"/>
            </w:pPr>
          </w:p>
          <w:p w14:paraId="36E7319D" w14:textId="7A090B72" w:rsidR="004634EE" w:rsidRPr="009A2F32" w:rsidRDefault="004634EE" w:rsidP="004634EE">
            <w:pPr>
              <w:spacing w:after="240"/>
              <w:rPr>
                <w:rFonts w:eastAsia="Times New Roman" w:cstheme="minorHAnsi"/>
                <w:color w:val="000000"/>
              </w:rPr>
            </w:pPr>
            <w:r w:rsidRPr="009A2F32">
              <w:rPr>
                <w:rFonts w:asciiTheme="minorHAnsi" w:eastAsia="Times New Roman" w:hAnsiTheme="minorHAnsi" w:cstheme="minorHAnsi"/>
                <w:color w:val="000000"/>
              </w:rPr>
              <w:t xml:space="preserve">Once a young person turns 18, if they have mental </w:t>
            </w:r>
            <w:proofErr w:type="gramStart"/>
            <w:r w:rsidRPr="009A2F32">
              <w:rPr>
                <w:rFonts w:asciiTheme="minorHAnsi" w:eastAsia="Times New Roman" w:hAnsiTheme="minorHAnsi" w:cstheme="minorHAnsi"/>
                <w:color w:val="000000"/>
              </w:rPr>
              <w:t>capacity</w:t>
            </w:r>
            <w:proofErr w:type="gramEnd"/>
            <w:r w:rsidRPr="009A2F32">
              <w:rPr>
                <w:rFonts w:asciiTheme="minorHAnsi" w:eastAsia="Times New Roman" w:hAnsiTheme="minorHAnsi" w:cstheme="minorHAnsi"/>
                <w:color w:val="000000"/>
              </w:rPr>
              <w:t xml:space="preserve"> they can make decisions as an adult</w:t>
            </w:r>
            <w:r>
              <w:rPr>
                <w:rFonts w:asciiTheme="minorHAnsi" w:eastAsia="Times New Roman" w:hAnsiTheme="minorHAnsi" w:cstheme="minorHAnsi"/>
                <w:color w:val="000000"/>
              </w:rPr>
              <w:t xml:space="preserve">. If a </w:t>
            </w:r>
            <w:r w:rsidRPr="009A2F32">
              <w:rPr>
                <w:rFonts w:asciiTheme="minorHAnsi" w:eastAsia="Times New Roman" w:hAnsiTheme="minorHAnsi" w:cstheme="minorHAnsi"/>
                <w:color w:val="000000"/>
              </w:rPr>
              <w:t xml:space="preserve">mental capacity assessment </w:t>
            </w:r>
            <w:r>
              <w:rPr>
                <w:rFonts w:asciiTheme="minorHAnsi" w:eastAsia="Times New Roman" w:hAnsiTheme="minorHAnsi" w:cstheme="minorHAnsi"/>
                <w:color w:val="000000"/>
              </w:rPr>
              <w:t xml:space="preserve">is completed and the young person is </w:t>
            </w:r>
            <w:proofErr w:type="gramStart"/>
            <w:r w:rsidRPr="009A2F32">
              <w:rPr>
                <w:rFonts w:asciiTheme="minorHAnsi" w:eastAsia="Times New Roman" w:hAnsiTheme="minorHAnsi" w:cstheme="minorHAnsi"/>
                <w:color w:val="000000"/>
              </w:rPr>
              <w:t>deem</w:t>
            </w:r>
            <w:r>
              <w:rPr>
                <w:rFonts w:asciiTheme="minorHAnsi" w:eastAsia="Times New Roman" w:hAnsiTheme="minorHAnsi" w:cstheme="minorHAnsi"/>
                <w:color w:val="000000"/>
              </w:rPr>
              <w:t>ed</w:t>
            </w:r>
            <w:proofErr w:type="gramEnd"/>
            <w:r w:rsidRPr="009A2F32">
              <w:rPr>
                <w:rFonts w:asciiTheme="minorHAnsi" w:eastAsia="Times New Roman" w:hAnsiTheme="minorHAnsi" w:cstheme="minorHAnsi"/>
                <w:color w:val="000000"/>
              </w:rPr>
              <w:t xml:space="preserve"> they lack mental capacity </w:t>
            </w:r>
            <w:r>
              <w:rPr>
                <w:rFonts w:asciiTheme="minorHAnsi" w:eastAsia="Times New Roman" w:hAnsiTheme="minorHAnsi" w:cstheme="minorHAnsi"/>
                <w:color w:val="000000"/>
              </w:rPr>
              <w:t xml:space="preserve">a </w:t>
            </w:r>
            <w:r w:rsidRPr="006700AC">
              <w:rPr>
                <w:rFonts w:asciiTheme="minorHAnsi" w:eastAsia="Times New Roman" w:hAnsiTheme="minorHAnsi" w:cstheme="minorHAnsi"/>
                <w:color w:val="000000"/>
              </w:rPr>
              <w:t>bes</w:t>
            </w:r>
            <w:r>
              <w:rPr>
                <w:rFonts w:asciiTheme="minorHAnsi" w:eastAsia="Times New Roman" w:hAnsiTheme="minorHAnsi" w:cstheme="minorHAnsi"/>
                <w:color w:val="000000"/>
              </w:rPr>
              <w:t xml:space="preserve">t interest meeting will be held, </w:t>
            </w:r>
            <w:r w:rsidRPr="009A2F32">
              <w:rPr>
                <w:rFonts w:asciiTheme="minorHAnsi" w:eastAsia="Times New Roman" w:hAnsiTheme="minorHAnsi" w:cstheme="minorHAnsi"/>
                <w:color w:val="000000"/>
              </w:rPr>
              <w:t>if parents don't have lasting power of attorney in relation to social welfare, finance and healt</w:t>
            </w:r>
            <w:r>
              <w:rPr>
                <w:rFonts w:asciiTheme="minorHAnsi" w:eastAsia="Times New Roman" w:hAnsiTheme="minorHAnsi" w:cstheme="minorHAnsi"/>
                <w:color w:val="000000"/>
              </w:rPr>
              <w:t>h</w:t>
            </w:r>
            <w:r w:rsidRPr="00826212">
              <w:rPr>
                <w:rFonts w:asciiTheme="minorHAnsi" w:eastAsia="Times New Roman" w:hAnsiTheme="minorHAnsi" w:cstheme="minorHAnsi"/>
                <w:color w:val="000000"/>
              </w:rPr>
              <w:t xml:space="preserve">. </w:t>
            </w:r>
          </w:p>
          <w:p w14:paraId="0AD0F822" w14:textId="5353AE9A" w:rsidR="004634EE" w:rsidRPr="006B54DC" w:rsidRDefault="004634EE" w:rsidP="004634EE">
            <w:pPr>
              <w:pStyle w:val="NoSpacing"/>
              <w:rPr>
                <w:highlight w:val="lightGray"/>
              </w:rPr>
            </w:pPr>
            <w:bookmarkStart w:id="1" w:name="_Hlk66719757"/>
            <w:r w:rsidRPr="006B54DC">
              <w:rPr>
                <w:highlight w:val="lightGray"/>
              </w:rPr>
              <w:t xml:space="preserve">NB. </w:t>
            </w:r>
            <w:r>
              <w:rPr>
                <w:highlight w:val="lightGray"/>
              </w:rPr>
              <w:t xml:space="preserve">Mental Capacity Act completed and </w:t>
            </w:r>
            <w:r w:rsidRPr="006B54DC">
              <w:rPr>
                <w:highlight w:val="lightGray"/>
              </w:rPr>
              <w:t>information on Deputyship and COP provided</w:t>
            </w:r>
            <w:r>
              <w:rPr>
                <w:highlight w:val="lightGray"/>
              </w:rPr>
              <w:t xml:space="preserve"> where necessary</w:t>
            </w:r>
          </w:p>
          <w:p w14:paraId="1652FBA7" w14:textId="2547AD86" w:rsidR="004634EE" w:rsidRDefault="004634EE" w:rsidP="004634EE">
            <w:pPr>
              <w:pStyle w:val="NoSpacing"/>
            </w:pPr>
            <w:r w:rsidRPr="006B54DC">
              <w:rPr>
                <w:highlight w:val="lightGray"/>
              </w:rPr>
              <w:t>NB. Carer’s Assessment will be offered to parents</w:t>
            </w:r>
          </w:p>
          <w:p w14:paraId="49D8B935" w14:textId="77777777" w:rsidR="004634EE" w:rsidRPr="009A2F32" w:rsidRDefault="004634EE" w:rsidP="004634EE">
            <w:pPr>
              <w:pStyle w:val="NoSpacing"/>
            </w:pPr>
          </w:p>
          <w:bookmarkEnd w:id="1"/>
          <w:p w14:paraId="527067F8" w14:textId="77777777" w:rsidR="004634EE" w:rsidRDefault="004634EE" w:rsidP="004634EE">
            <w:pPr>
              <w:pStyle w:val="NoSpacing"/>
            </w:pPr>
          </w:p>
          <w:p w14:paraId="326D33E8" w14:textId="0A5A83E1" w:rsidR="004634EE" w:rsidRPr="00D062D2" w:rsidRDefault="004634EE" w:rsidP="004634EE">
            <w:pPr>
              <w:pStyle w:val="NoSpacing"/>
            </w:pPr>
          </w:p>
        </w:tc>
      </w:tr>
      <w:tr w:rsidR="004634EE" w14:paraId="4DDCCFBA" w14:textId="77777777" w:rsidTr="00273421">
        <w:tc>
          <w:tcPr>
            <w:tcW w:w="799" w:type="dxa"/>
          </w:tcPr>
          <w:p w14:paraId="27908930" w14:textId="1697BE77" w:rsidR="004634EE" w:rsidRDefault="004634EE" w:rsidP="004634EE">
            <w:pPr>
              <w:pStyle w:val="NoSpacing"/>
            </w:pPr>
            <w:r>
              <w:lastRenderedPageBreak/>
              <w:t>18+</w:t>
            </w:r>
          </w:p>
        </w:tc>
        <w:tc>
          <w:tcPr>
            <w:tcW w:w="2858" w:type="dxa"/>
          </w:tcPr>
          <w:p w14:paraId="29453D68" w14:textId="3FE56464" w:rsidR="004634EE" w:rsidRPr="007B6159" w:rsidRDefault="004634EE" w:rsidP="004634EE">
            <w:pPr>
              <w:pStyle w:val="NoSpacing"/>
              <w:rPr>
                <w:b/>
              </w:rPr>
            </w:pPr>
            <w:r w:rsidRPr="00936A2E">
              <w:rPr>
                <w:b/>
              </w:rPr>
              <w:t>Redbridge Adults Community Learning D</w:t>
            </w:r>
            <w:r w:rsidRPr="007B6159">
              <w:rPr>
                <w:b/>
              </w:rPr>
              <w:t>isability Service</w:t>
            </w:r>
          </w:p>
          <w:p w14:paraId="33109015" w14:textId="4C0CD031" w:rsidR="007B6159" w:rsidRPr="008352B4" w:rsidRDefault="007B6159" w:rsidP="007B6159">
            <w:pPr>
              <w:rPr>
                <w:rFonts w:eastAsia="Times New Roman"/>
              </w:rPr>
            </w:pPr>
            <w:r w:rsidRPr="008352B4">
              <w:rPr>
                <w:rFonts w:eastAsia="Times New Roman"/>
              </w:rPr>
              <w:t>can be commenced from the age 17.5 years onwards providing necessary supporting information to establish the persons meets the service criteria and clients’ needs could be met by specialist LD service. Where person meets the service criteria, he/she are eligible for support from age 18 onwards.</w:t>
            </w:r>
          </w:p>
          <w:p w14:paraId="1D744F19" w14:textId="77777777" w:rsidR="007B6159" w:rsidRPr="008352B4" w:rsidRDefault="007B6159" w:rsidP="007B6159">
            <w:pPr>
              <w:rPr>
                <w:rFonts w:eastAsia="Times New Roman"/>
              </w:rPr>
            </w:pPr>
          </w:p>
          <w:p w14:paraId="5E49273E" w14:textId="1E1BF7FA" w:rsidR="007B6159" w:rsidRPr="008352B4" w:rsidRDefault="00D22F4B" w:rsidP="004634EE">
            <w:pPr>
              <w:pStyle w:val="NoSpacing"/>
            </w:pPr>
            <w:r w:rsidRPr="008352B4">
              <w:t xml:space="preserve">The referral will require reports/necessary supporting evidences to help establish if the person would meet the criteria for LD service. Referring professionals must ensure respective professionals within children’s health and social care systems are aware of this referral and must provide necessary evidencing documentations/professional reports to avoid delays in processes and reaching a </w:t>
            </w:r>
            <w:r w:rsidRPr="008352B4">
              <w:lastRenderedPageBreak/>
              <w:t>final decision of eligibility to LD service.</w:t>
            </w:r>
          </w:p>
          <w:p w14:paraId="3204F45C" w14:textId="77777777" w:rsidR="00D22F4B" w:rsidRDefault="00D22F4B" w:rsidP="004634EE">
            <w:pPr>
              <w:pStyle w:val="NoSpacing"/>
              <w:rPr>
                <w:b/>
              </w:rPr>
            </w:pPr>
          </w:p>
          <w:p w14:paraId="3BFC9510" w14:textId="2942C5F7" w:rsidR="004634EE" w:rsidRDefault="004634EE" w:rsidP="004634EE">
            <w:pPr>
              <w:pStyle w:val="NoSpacing"/>
            </w:pPr>
            <w:r>
              <w:t xml:space="preserve">Based on their needs, a range of support could be offered, </w:t>
            </w:r>
            <w:proofErr w:type="spellStart"/>
            <w:r>
              <w:t>i.e</w:t>
            </w:r>
            <w:proofErr w:type="spellEnd"/>
            <w:r>
              <w:t xml:space="preserve">: </w:t>
            </w:r>
          </w:p>
          <w:p w14:paraId="45BB01E0" w14:textId="77777777" w:rsidR="004634EE" w:rsidRPr="00933DC5" w:rsidRDefault="004634EE" w:rsidP="004634EE">
            <w:pPr>
              <w:pStyle w:val="NoSpacing"/>
              <w:numPr>
                <w:ilvl w:val="0"/>
                <w:numId w:val="8"/>
              </w:numPr>
            </w:pPr>
            <w:r w:rsidRPr="00933DC5">
              <w:t>LD Psychiatry</w:t>
            </w:r>
          </w:p>
          <w:p w14:paraId="3C696A52" w14:textId="77777777" w:rsidR="004634EE" w:rsidRPr="00933DC5" w:rsidRDefault="004634EE" w:rsidP="004634EE">
            <w:pPr>
              <w:pStyle w:val="NoSpacing"/>
              <w:numPr>
                <w:ilvl w:val="0"/>
                <w:numId w:val="8"/>
              </w:numPr>
            </w:pPr>
            <w:r w:rsidRPr="00933DC5">
              <w:t>LD Psychology &amp; Art Therapy</w:t>
            </w:r>
          </w:p>
          <w:p w14:paraId="0C2A6DCF" w14:textId="77777777" w:rsidR="004634EE" w:rsidRPr="00933DC5" w:rsidRDefault="004634EE" w:rsidP="004634EE">
            <w:pPr>
              <w:pStyle w:val="NoSpacing"/>
              <w:numPr>
                <w:ilvl w:val="0"/>
                <w:numId w:val="8"/>
              </w:numPr>
            </w:pPr>
            <w:r w:rsidRPr="00933DC5">
              <w:t>LD Physiotherapy</w:t>
            </w:r>
          </w:p>
          <w:p w14:paraId="241D1956" w14:textId="77777777" w:rsidR="004634EE" w:rsidRDefault="004634EE" w:rsidP="004634EE">
            <w:pPr>
              <w:pStyle w:val="NoSpacing"/>
              <w:numPr>
                <w:ilvl w:val="0"/>
                <w:numId w:val="8"/>
              </w:numPr>
            </w:pPr>
            <w:r w:rsidRPr="00933DC5">
              <w:t>LD Occupational Therapy</w:t>
            </w:r>
          </w:p>
          <w:p w14:paraId="0B61B829" w14:textId="77777777" w:rsidR="004634EE" w:rsidRPr="00933DC5" w:rsidRDefault="004634EE" w:rsidP="004634EE">
            <w:pPr>
              <w:pStyle w:val="NoSpacing"/>
              <w:numPr>
                <w:ilvl w:val="0"/>
                <w:numId w:val="8"/>
              </w:numPr>
            </w:pPr>
            <w:r w:rsidRPr="00933DC5">
              <w:t>LD Speech &amp; Language Therapy</w:t>
            </w:r>
          </w:p>
          <w:p w14:paraId="3EE2AE0C" w14:textId="77777777" w:rsidR="004634EE" w:rsidRPr="00933DC5" w:rsidRDefault="004634EE" w:rsidP="004634EE">
            <w:pPr>
              <w:pStyle w:val="NoSpacing"/>
              <w:numPr>
                <w:ilvl w:val="0"/>
                <w:numId w:val="8"/>
              </w:numPr>
            </w:pPr>
            <w:r w:rsidRPr="00933DC5">
              <w:t>LD Nursing</w:t>
            </w:r>
          </w:p>
          <w:p w14:paraId="193BE232" w14:textId="77777777" w:rsidR="004634EE" w:rsidRPr="00933DC5" w:rsidRDefault="004634EE" w:rsidP="004634EE">
            <w:pPr>
              <w:pStyle w:val="NoSpacing"/>
              <w:numPr>
                <w:ilvl w:val="0"/>
                <w:numId w:val="8"/>
              </w:numPr>
            </w:pPr>
            <w:r w:rsidRPr="00933DC5">
              <w:t>LD Social Worker</w:t>
            </w:r>
          </w:p>
          <w:p w14:paraId="296157DB" w14:textId="77777777" w:rsidR="004634EE" w:rsidRDefault="004634EE" w:rsidP="004634EE">
            <w:pPr>
              <w:pStyle w:val="NoSpacing"/>
            </w:pPr>
          </w:p>
          <w:p w14:paraId="0D54A586" w14:textId="4EB878DE" w:rsidR="007B6159" w:rsidRPr="008352B4" w:rsidRDefault="004634EE" w:rsidP="007B6159">
            <w:pPr>
              <w:rPr>
                <w:sz w:val="28"/>
                <w:szCs w:val="28"/>
              </w:rPr>
            </w:pPr>
            <w:r w:rsidRPr="008352B4">
              <w:t xml:space="preserve">NB. Even if an individual has a Learning Disability, it doesn’t make them automatically eligible for this service – their case may be managed by the Community Health and Social Care teams. </w:t>
            </w:r>
            <w:r w:rsidR="007B6159" w:rsidRPr="008352B4">
              <w:t>The referrer must ensure supporting documentation/reports provided to help client meets the LD service criteria.</w:t>
            </w:r>
          </w:p>
          <w:p w14:paraId="319AE5A5" w14:textId="3E9F4562" w:rsidR="007B6159" w:rsidRPr="008352B4" w:rsidRDefault="007B6159" w:rsidP="004634EE">
            <w:pPr>
              <w:pStyle w:val="NoSpacing"/>
            </w:pPr>
          </w:p>
          <w:p w14:paraId="0F6B6FA7" w14:textId="3A2BA9F1" w:rsidR="007B6159" w:rsidRPr="008352B4" w:rsidRDefault="007B6159" w:rsidP="007B6159">
            <w:pPr>
              <w:rPr>
                <w:rFonts w:eastAsia="Times New Roman"/>
                <w:sz w:val="28"/>
                <w:szCs w:val="28"/>
              </w:rPr>
            </w:pPr>
            <w:r w:rsidRPr="008352B4">
              <w:rPr>
                <w:rFonts w:eastAsia="Times New Roman"/>
              </w:rPr>
              <w:t>If your young person continues education up to the age of 24, and has access to relevant health professionals at education establishment, you should continue to seek support from them unless there is a need for LD health colleagues to joint work or take over</w:t>
            </w:r>
            <w:r w:rsidRPr="008352B4">
              <w:rPr>
                <w:rFonts w:eastAsia="Times New Roman"/>
                <w:sz w:val="28"/>
                <w:szCs w:val="28"/>
              </w:rPr>
              <w:t>.</w:t>
            </w:r>
          </w:p>
          <w:p w14:paraId="27A7037B" w14:textId="77777777" w:rsidR="007B6159" w:rsidRPr="008352B4" w:rsidRDefault="007B6159" w:rsidP="007B6159">
            <w:pPr>
              <w:rPr>
                <w:rFonts w:eastAsia="Times New Roman"/>
              </w:rPr>
            </w:pPr>
          </w:p>
          <w:p w14:paraId="564CBC59" w14:textId="77777777" w:rsidR="007B6159" w:rsidRDefault="007B6159" w:rsidP="004634EE">
            <w:pPr>
              <w:pStyle w:val="NoSpacing"/>
            </w:pPr>
          </w:p>
          <w:p w14:paraId="56ACBB97" w14:textId="40CC7305" w:rsidR="004634EE" w:rsidRPr="00933DC5" w:rsidRDefault="004634EE" w:rsidP="004634EE">
            <w:pPr>
              <w:pStyle w:val="NoSpacing"/>
            </w:pPr>
          </w:p>
        </w:tc>
        <w:tc>
          <w:tcPr>
            <w:tcW w:w="2342" w:type="dxa"/>
          </w:tcPr>
          <w:p w14:paraId="63F448FA" w14:textId="77777777" w:rsidR="004634EE" w:rsidRDefault="004634EE" w:rsidP="004634EE">
            <w:pPr>
              <w:pStyle w:val="NoSpacing"/>
            </w:pPr>
            <w:r w:rsidRPr="006B54DC">
              <w:rPr>
                <w:b/>
              </w:rPr>
              <w:lastRenderedPageBreak/>
              <w:t>Community Health and Social Care</w:t>
            </w:r>
          </w:p>
          <w:p w14:paraId="15C5CBCB" w14:textId="77777777" w:rsidR="004634EE" w:rsidRDefault="004634EE" w:rsidP="004634EE">
            <w:pPr>
              <w:pStyle w:val="NoSpacing"/>
            </w:pPr>
            <w:r>
              <w:t>Integrated service for health and adult social care, jointly provided by NELFT and London Borough of Redbridge.</w:t>
            </w:r>
          </w:p>
          <w:p w14:paraId="78B81202" w14:textId="77777777" w:rsidR="004634EE" w:rsidRDefault="004634EE" w:rsidP="004634EE">
            <w:pPr>
              <w:pStyle w:val="NoSpacing"/>
            </w:pPr>
          </w:p>
          <w:p w14:paraId="1715E71B" w14:textId="2AFC24E9" w:rsidR="004634EE" w:rsidRDefault="004634EE" w:rsidP="004634EE">
            <w:pPr>
              <w:pStyle w:val="NoSpacing"/>
            </w:pPr>
          </w:p>
          <w:p w14:paraId="4CC36FA3" w14:textId="062D68B0" w:rsidR="004634EE" w:rsidRPr="00C96319" w:rsidRDefault="004634EE" w:rsidP="004634EE">
            <w:pPr>
              <w:pStyle w:val="NoSpacing"/>
            </w:pPr>
          </w:p>
        </w:tc>
        <w:tc>
          <w:tcPr>
            <w:tcW w:w="2346" w:type="dxa"/>
          </w:tcPr>
          <w:p w14:paraId="050D25D9" w14:textId="77777777" w:rsidR="004634EE" w:rsidRDefault="004634EE" w:rsidP="004634EE">
            <w:pPr>
              <w:pStyle w:val="NoSpacing"/>
              <w:rPr>
                <w:b/>
              </w:rPr>
            </w:pPr>
            <w:r w:rsidRPr="003E7738">
              <w:rPr>
                <w:b/>
              </w:rPr>
              <w:t>Mental Health</w:t>
            </w:r>
            <w:r>
              <w:rPr>
                <w:b/>
              </w:rPr>
              <w:t xml:space="preserve"> Services</w:t>
            </w:r>
          </w:p>
          <w:p w14:paraId="6471ADE0" w14:textId="77777777" w:rsidR="004634EE" w:rsidRDefault="004634EE" w:rsidP="004634EE">
            <w:pPr>
              <w:pStyle w:val="NoSpacing"/>
              <w:numPr>
                <w:ilvl w:val="0"/>
                <w:numId w:val="8"/>
              </w:numPr>
            </w:pPr>
            <w:r w:rsidRPr="001F49A0">
              <w:rPr>
                <w:b/>
              </w:rPr>
              <w:t>IAPT</w:t>
            </w:r>
            <w:r w:rsidRPr="001F49A0">
              <w:t xml:space="preserve"> </w:t>
            </w:r>
            <w:r w:rsidRPr="001F49A0">
              <w:rPr>
                <w:b/>
              </w:rPr>
              <w:t>Service</w:t>
            </w:r>
            <w:r w:rsidRPr="001F49A0">
              <w:t xml:space="preserve"> (Improving Access to Psychological Therapies) </w:t>
            </w:r>
          </w:p>
          <w:p w14:paraId="7828657B" w14:textId="77777777" w:rsidR="004634EE" w:rsidRPr="001F49A0" w:rsidRDefault="004634EE" w:rsidP="004634EE">
            <w:pPr>
              <w:pStyle w:val="NoSpacing"/>
              <w:ind w:left="360"/>
            </w:pPr>
          </w:p>
          <w:p w14:paraId="40CA0A3B" w14:textId="77777777" w:rsidR="004634EE" w:rsidRDefault="004634EE" w:rsidP="004634EE">
            <w:pPr>
              <w:pStyle w:val="NoSpacing"/>
              <w:numPr>
                <w:ilvl w:val="0"/>
                <w:numId w:val="8"/>
              </w:numPr>
              <w:rPr>
                <w:b/>
              </w:rPr>
            </w:pPr>
            <w:r>
              <w:rPr>
                <w:b/>
              </w:rPr>
              <w:t>Adult Community Recovery Teams</w:t>
            </w:r>
          </w:p>
          <w:p w14:paraId="21F75EAA" w14:textId="77777777" w:rsidR="004634EE" w:rsidRDefault="004634EE" w:rsidP="004634EE">
            <w:pPr>
              <w:pStyle w:val="NoSpacing"/>
              <w:ind w:left="360"/>
              <w:rPr>
                <w:b/>
              </w:rPr>
            </w:pPr>
            <w:r>
              <w:t>Adult Mental Health provide c</w:t>
            </w:r>
            <w:r w:rsidRPr="00D612B2">
              <w:t>are coordination of adults with severe and enduring mental disorders</w:t>
            </w:r>
            <w:r>
              <w:t xml:space="preserve">. </w:t>
            </w:r>
          </w:p>
          <w:p w14:paraId="29F76272" w14:textId="77777777" w:rsidR="004634EE" w:rsidRDefault="004634EE" w:rsidP="004634EE">
            <w:pPr>
              <w:pStyle w:val="NoSpacing"/>
              <w:ind w:left="360"/>
              <w:rPr>
                <w:b/>
              </w:rPr>
            </w:pPr>
          </w:p>
          <w:p w14:paraId="12887C38" w14:textId="0B79B27B" w:rsidR="004634EE" w:rsidRDefault="004634EE" w:rsidP="004634EE">
            <w:pPr>
              <w:pStyle w:val="NoSpacing"/>
              <w:ind w:left="360"/>
            </w:pPr>
            <w:r>
              <w:t xml:space="preserve">These services are only accessed through referral by a professional, </w:t>
            </w:r>
            <w:proofErr w:type="gramStart"/>
            <w:r>
              <w:t>i.e.</w:t>
            </w:r>
            <w:proofErr w:type="gramEnd"/>
            <w:r>
              <w:t xml:space="preserve"> EWMHS/ GP, into the Access and Assessment Team before being allocated.</w:t>
            </w:r>
          </w:p>
          <w:p w14:paraId="009E98C9" w14:textId="6AD02856" w:rsidR="004634EE" w:rsidRDefault="004634EE" w:rsidP="004634EE">
            <w:pPr>
              <w:pStyle w:val="NoSpacing"/>
            </w:pPr>
          </w:p>
        </w:tc>
        <w:tc>
          <w:tcPr>
            <w:tcW w:w="2284" w:type="dxa"/>
          </w:tcPr>
          <w:p w14:paraId="6FA63773" w14:textId="624B0765" w:rsidR="004634EE" w:rsidRDefault="004634EE" w:rsidP="004634EE">
            <w:pPr>
              <w:pStyle w:val="NoSpacing"/>
              <w:rPr>
                <w:b/>
              </w:rPr>
            </w:pPr>
            <w:r w:rsidRPr="00CD3FCC">
              <w:rPr>
                <w:b/>
              </w:rPr>
              <w:t xml:space="preserve">The ASD </w:t>
            </w:r>
            <w:r>
              <w:rPr>
                <w:b/>
              </w:rPr>
              <w:t>A</w:t>
            </w:r>
            <w:r w:rsidRPr="00CD3FCC">
              <w:rPr>
                <w:b/>
              </w:rPr>
              <w:t xml:space="preserve">ssessment </w:t>
            </w:r>
            <w:r>
              <w:rPr>
                <w:b/>
              </w:rPr>
              <w:t>S</w:t>
            </w:r>
            <w:r w:rsidRPr="00CD3FCC">
              <w:rPr>
                <w:b/>
              </w:rPr>
              <w:t>ervice</w:t>
            </w:r>
          </w:p>
          <w:p w14:paraId="725DBAEC" w14:textId="054EEFD7" w:rsidR="004634EE" w:rsidRDefault="004634EE" w:rsidP="004634EE">
            <w:pPr>
              <w:pStyle w:val="NoSpacing"/>
            </w:pPr>
            <w:r>
              <w:t xml:space="preserve">This service carries out assessments and diagnoses for adults </w:t>
            </w:r>
            <w:r w:rsidRPr="007B6159">
              <w:t xml:space="preserve">over 18 with </w:t>
            </w:r>
            <w:proofErr w:type="gramStart"/>
            <w:r w:rsidRPr="007B6159">
              <w:t>Autism Spectrum Disorder</w:t>
            </w:r>
            <w:proofErr w:type="gramEnd"/>
            <w:r w:rsidRPr="007B6159">
              <w:t>.</w:t>
            </w:r>
          </w:p>
          <w:p w14:paraId="6E48929F" w14:textId="77777777" w:rsidR="004634EE" w:rsidRDefault="004634EE" w:rsidP="004634EE">
            <w:pPr>
              <w:pStyle w:val="NoSpacing"/>
            </w:pPr>
          </w:p>
          <w:p w14:paraId="6519EA73" w14:textId="77777777" w:rsidR="004634EE" w:rsidRPr="008352B4" w:rsidRDefault="004634EE" w:rsidP="004634EE">
            <w:pPr>
              <w:pStyle w:val="NoSpacing"/>
            </w:pPr>
            <w:r>
              <w:t xml:space="preserve">You can be referred by a mental health </w:t>
            </w:r>
            <w:r w:rsidR="000859B7">
              <w:t>professional. A</w:t>
            </w:r>
            <w:r>
              <w:t xml:space="preserve"> GP will refer to the access </w:t>
            </w:r>
            <w:r w:rsidRPr="008352B4">
              <w:t xml:space="preserve">service. </w:t>
            </w:r>
          </w:p>
          <w:p w14:paraId="07DD1C75" w14:textId="77777777" w:rsidR="007B6159" w:rsidRPr="008352B4" w:rsidRDefault="007B6159" w:rsidP="004634EE">
            <w:pPr>
              <w:pStyle w:val="NoSpacing"/>
            </w:pPr>
          </w:p>
          <w:p w14:paraId="5F57FEF4" w14:textId="6DA814D7" w:rsidR="007B6159" w:rsidRPr="00CD3FCC" w:rsidRDefault="007B6159" w:rsidP="004634EE">
            <w:pPr>
              <w:pStyle w:val="NoSpacing"/>
            </w:pPr>
            <w:r w:rsidRPr="008352B4">
              <w:t>At present, there is no on-going therapy following assessment</w:t>
            </w:r>
            <w:r w:rsidR="00D22F4B">
              <w:rPr>
                <w:color w:val="FF0000"/>
              </w:rPr>
              <w:t xml:space="preserve">. </w:t>
            </w:r>
          </w:p>
        </w:tc>
      </w:tr>
      <w:tr w:rsidR="004634EE" w14:paraId="1A9F84BF" w14:textId="77777777" w:rsidTr="00273421">
        <w:tc>
          <w:tcPr>
            <w:tcW w:w="799" w:type="dxa"/>
          </w:tcPr>
          <w:p w14:paraId="4F7AC50B" w14:textId="3C22D7E0" w:rsidR="004634EE" w:rsidRDefault="004634EE" w:rsidP="004634EE">
            <w:pPr>
              <w:pStyle w:val="NoSpacing"/>
            </w:pPr>
            <w:r>
              <w:t>18+</w:t>
            </w:r>
          </w:p>
        </w:tc>
        <w:tc>
          <w:tcPr>
            <w:tcW w:w="9830" w:type="dxa"/>
            <w:gridSpan w:val="4"/>
          </w:tcPr>
          <w:p w14:paraId="58372791" w14:textId="77777777" w:rsidR="000A2CDC" w:rsidRDefault="000A2CDC" w:rsidP="000A2CDC">
            <w:pPr>
              <w:pStyle w:val="NoSpacing"/>
              <w:jc w:val="center"/>
              <w:rPr>
                <w:b/>
              </w:rPr>
            </w:pPr>
            <w:r w:rsidRPr="000A2CDC">
              <w:rPr>
                <w:b/>
              </w:rPr>
              <w:t>Education Health and Care Plan</w:t>
            </w:r>
            <w:r>
              <w:t xml:space="preserve"> </w:t>
            </w:r>
            <w:r w:rsidR="004634EE" w:rsidRPr="000859B7">
              <w:rPr>
                <w:b/>
              </w:rPr>
              <w:t>Annual Review</w:t>
            </w:r>
          </w:p>
          <w:p w14:paraId="5173234E" w14:textId="4FC51EB0" w:rsidR="004634EE" w:rsidRPr="000A2CDC" w:rsidRDefault="000A2CDC" w:rsidP="000A2CDC">
            <w:pPr>
              <w:pStyle w:val="NoSpacing"/>
              <w:jc w:val="center"/>
              <w:rPr>
                <w:b/>
              </w:rPr>
            </w:pPr>
            <w:r>
              <w:t>A young person will have an annual Education Health and Care Plan review to see if they are meeting agreed outcomes and how best to support them to continue to do so.</w:t>
            </w:r>
          </w:p>
          <w:p w14:paraId="33E606CC" w14:textId="3BF21742" w:rsidR="004634EE" w:rsidRDefault="004634EE" w:rsidP="004634EE">
            <w:pPr>
              <w:pStyle w:val="NoSpacing"/>
            </w:pPr>
          </w:p>
        </w:tc>
      </w:tr>
    </w:tbl>
    <w:p w14:paraId="21524003" w14:textId="01FE47F7" w:rsidR="00D062D2" w:rsidRDefault="00D062D2" w:rsidP="00A46731">
      <w:pPr>
        <w:pStyle w:val="NoSpacing"/>
      </w:pPr>
    </w:p>
    <w:p w14:paraId="4C4C8070" w14:textId="2DE82334" w:rsidR="00C6767D" w:rsidRDefault="00C6767D" w:rsidP="00A46731">
      <w:pPr>
        <w:pStyle w:val="NoSpacing"/>
      </w:pPr>
    </w:p>
    <w:tbl>
      <w:tblPr>
        <w:tblStyle w:val="TableGrid"/>
        <w:tblW w:w="10495" w:type="dxa"/>
        <w:tblLook w:val="04A0" w:firstRow="1" w:lastRow="0" w:firstColumn="1" w:lastColumn="0" w:noHBand="0" w:noVBand="1"/>
      </w:tblPr>
      <w:tblGrid>
        <w:gridCol w:w="10495"/>
      </w:tblGrid>
      <w:tr w:rsidR="000A2CDC" w:rsidRPr="00102F3A" w14:paraId="1B69D8E6" w14:textId="77777777" w:rsidTr="000A2CDC">
        <w:trPr>
          <w:trHeight w:val="886"/>
        </w:trPr>
        <w:tc>
          <w:tcPr>
            <w:tcW w:w="10495" w:type="dxa"/>
          </w:tcPr>
          <w:p w14:paraId="218E3C18" w14:textId="68A418F1" w:rsidR="000A2CDC" w:rsidRDefault="000A2CDC" w:rsidP="000A2CDC">
            <w:pPr>
              <w:rPr>
                <w:b/>
                <w:bCs/>
              </w:rPr>
            </w:pPr>
            <w:r>
              <w:rPr>
                <w:b/>
                <w:bCs/>
              </w:rPr>
              <w:t>Education, Training and Employment</w:t>
            </w:r>
          </w:p>
          <w:p w14:paraId="14ADEA34" w14:textId="77777777" w:rsidR="000A2CDC" w:rsidRDefault="000A2CDC" w:rsidP="000A2CDC">
            <w:r>
              <w:t xml:space="preserve">Redbridge Connexions team work with young people from year 11 and up to age 25 for young people with special Educational Needs and Disabilities who live in Redbridge. The Redbridge Connexions Team can advise young people and their parents/carers on </w:t>
            </w:r>
            <w:proofErr w:type="gramStart"/>
            <w:r>
              <w:t>Educational</w:t>
            </w:r>
            <w:proofErr w:type="gramEnd"/>
            <w:r>
              <w:t xml:space="preserve"> options (both Further and Higher Education) as well as employment and training options (including traineeships and apprenticeships). This can include supported Employment options and some young people with Education and Health Care plans (EHCPs) can access Supported Internships via education.</w:t>
            </w:r>
          </w:p>
          <w:p w14:paraId="6EFE9053" w14:textId="77777777" w:rsidR="000A2CDC" w:rsidRDefault="000A2CDC" w:rsidP="000A2CDC">
            <w:r>
              <w:lastRenderedPageBreak/>
              <w:t>Redbridge Connexions Advisers attend EHC reviews when young people are close to leaving school/college and support young people and their families to explore their next steps and progression routes in relation to Employment, Education and Training.</w:t>
            </w:r>
          </w:p>
          <w:p w14:paraId="78C4623B" w14:textId="3D24D777" w:rsidR="000A2CDC" w:rsidRDefault="000A2CDC" w:rsidP="00FB5A21">
            <w:pPr>
              <w:pStyle w:val="NoSpacing"/>
            </w:pPr>
          </w:p>
        </w:tc>
      </w:tr>
    </w:tbl>
    <w:p w14:paraId="3D9B458D" w14:textId="77777777" w:rsidR="00C6767D" w:rsidRDefault="00C6767D" w:rsidP="00A46731">
      <w:pPr>
        <w:pStyle w:val="NoSpacing"/>
      </w:pPr>
    </w:p>
    <w:p w14:paraId="36D36893" w14:textId="77777777" w:rsidR="00EF2D4A" w:rsidRDefault="00EF2D4A" w:rsidP="00EF2D4A">
      <w:pPr>
        <w:pStyle w:val="NoSpacing"/>
      </w:pPr>
      <w:r>
        <w:t>If you need any additional support, you can:</w:t>
      </w:r>
    </w:p>
    <w:p w14:paraId="675F9023" w14:textId="3E9AEE5F" w:rsidR="00EF2D4A" w:rsidRDefault="00EF2D4A" w:rsidP="00EF2D4A">
      <w:pPr>
        <w:pStyle w:val="NoSpacing"/>
        <w:numPr>
          <w:ilvl w:val="0"/>
          <w:numId w:val="1"/>
        </w:numPr>
      </w:pPr>
      <w:r>
        <w:t xml:space="preserve">Speak to </w:t>
      </w:r>
      <w:r w:rsidR="00933DC5">
        <w:t xml:space="preserve">your </w:t>
      </w:r>
      <w:r>
        <w:t>allocated social worker</w:t>
      </w:r>
      <w:r w:rsidR="00933DC5">
        <w:t xml:space="preserve"> or contact the Duty Team</w:t>
      </w:r>
    </w:p>
    <w:p w14:paraId="58298C85" w14:textId="090DCFA0" w:rsidR="00EF2D4A" w:rsidRDefault="00933DC5" w:rsidP="00EF2D4A">
      <w:pPr>
        <w:pStyle w:val="NoSpacing"/>
        <w:numPr>
          <w:ilvl w:val="0"/>
          <w:numId w:val="1"/>
        </w:numPr>
      </w:pPr>
      <w:r>
        <w:t>Speak to the Redbridge Information, Advice and Support Service</w:t>
      </w:r>
    </w:p>
    <w:p w14:paraId="5A7432F3" w14:textId="77777777" w:rsidR="00EF2D4A" w:rsidRDefault="00EF2D4A" w:rsidP="00A46731">
      <w:pPr>
        <w:pStyle w:val="NoSpacing"/>
      </w:pPr>
    </w:p>
    <w:p w14:paraId="09F385B7" w14:textId="505938F3" w:rsidR="00D062D2" w:rsidRPr="00102F3A" w:rsidRDefault="00102F3A" w:rsidP="00A46731">
      <w:pPr>
        <w:pStyle w:val="NoSpacing"/>
        <w:rPr>
          <w:u w:val="single"/>
        </w:rPr>
      </w:pPr>
      <w:r w:rsidRPr="00102F3A">
        <w:rPr>
          <w:u w:val="single"/>
        </w:rPr>
        <w:t>Key contacts</w:t>
      </w:r>
    </w:p>
    <w:p w14:paraId="09EA9334" w14:textId="77777777" w:rsidR="00102F3A" w:rsidRDefault="00102F3A" w:rsidP="00A46731">
      <w:pPr>
        <w:pStyle w:val="NoSpacing"/>
      </w:pPr>
    </w:p>
    <w:p w14:paraId="1E0891FE" w14:textId="499F8AF1" w:rsidR="00936A2E" w:rsidRPr="00E1312B" w:rsidRDefault="00E1312B" w:rsidP="00A46731">
      <w:pPr>
        <w:pStyle w:val="NoSpacing"/>
        <w:rPr>
          <w:b/>
        </w:rPr>
      </w:pPr>
      <w:r w:rsidRPr="00E1312B">
        <w:rPr>
          <w:b/>
        </w:rPr>
        <w:t>Children with Disabilities</w:t>
      </w:r>
    </w:p>
    <w:p w14:paraId="00CECF2A" w14:textId="34340DAA" w:rsidR="00E1312B" w:rsidRDefault="004777F5" w:rsidP="00E1312B">
      <w:pPr>
        <w:pStyle w:val="NoSpacing"/>
      </w:pPr>
      <w:r>
        <w:t xml:space="preserve">Tel: </w:t>
      </w:r>
      <w:r w:rsidR="00E1312B">
        <w:t>0208 708 6092</w:t>
      </w:r>
    </w:p>
    <w:p w14:paraId="08A2095C" w14:textId="0F81679B" w:rsidR="00E1312B" w:rsidRDefault="004777F5" w:rsidP="00E1312B">
      <w:pPr>
        <w:pStyle w:val="NoSpacing"/>
      </w:pPr>
      <w:r>
        <w:t xml:space="preserve">Email: </w:t>
      </w:r>
      <w:r w:rsidR="00E1312B">
        <w:t>cwdtduty@redbridge.gov.uk</w:t>
      </w:r>
    </w:p>
    <w:p w14:paraId="08BDC3CE" w14:textId="77777777" w:rsidR="00E1312B" w:rsidRDefault="00E1312B" w:rsidP="00A46731">
      <w:pPr>
        <w:pStyle w:val="NoSpacing"/>
      </w:pPr>
    </w:p>
    <w:p w14:paraId="050EDCE6" w14:textId="32EE0CA8" w:rsidR="006B54DC" w:rsidRPr="006B54DC" w:rsidRDefault="006B54DC" w:rsidP="00A46731">
      <w:pPr>
        <w:pStyle w:val="NoSpacing"/>
        <w:rPr>
          <w:b/>
        </w:rPr>
      </w:pPr>
      <w:r w:rsidRPr="006B54DC">
        <w:rPr>
          <w:b/>
        </w:rPr>
        <w:t>Community Health and Social Care Teams (Adults)</w:t>
      </w:r>
    </w:p>
    <w:p w14:paraId="3E7CC8E6" w14:textId="2057A907" w:rsidR="006B54DC" w:rsidRDefault="006B54DC" w:rsidP="006B54DC">
      <w:pPr>
        <w:pStyle w:val="NoSpacing"/>
      </w:pPr>
      <w:r>
        <w:t>Fairlop</w:t>
      </w:r>
      <w:r w:rsidR="00102F3A">
        <w:tab/>
      </w:r>
      <w:r w:rsidR="00102F3A">
        <w:tab/>
      </w:r>
      <w:r w:rsidR="00102F3A">
        <w:tab/>
      </w:r>
      <w:r w:rsidR="00102F3A">
        <w:tab/>
      </w:r>
      <w:r w:rsidR="004777F5">
        <w:t>Tel:</w:t>
      </w:r>
      <w:r>
        <w:t xml:space="preserve"> 020 8708 7004 or 020 8708 2229</w:t>
      </w:r>
    </w:p>
    <w:p w14:paraId="5433EE61" w14:textId="103AF537" w:rsidR="006B54DC" w:rsidRDefault="00102F3A" w:rsidP="006B54DC">
      <w:pPr>
        <w:pStyle w:val="NoSpacing"/>
      </w:pPr>
      <w:r>
        <w:t>Wanstead &amp; Woodford</w:t>
      </w:r>
      <w:r>
        <w:tab/>
      </w:r>
      <w:r>
        <w:tab/>
      </w:r>
      <w:r w:rsidR="004777F5">
        <w:t xml:space="preserve">Tel: </w:t>
      </w:r>
      <w:r w:rsidR="006B54DC">
        <w:t>0208 708 2389</w:t>
      </w:r>
    </w:p>
    <w:p w14:paraId="674CDC5F" w14:textId="2D4C0177" w:rsidR="006B54DC" w:rsidRDefault="00102F3A" w:rsidP="006B54DC">
      <w:pPr>
        <w:pStyle w:val="NoSpacing"/>
      </w:pPr>
      <w:r>
        <w:t>Seven Kings Cluster</w:t>
      </w:r>
      <w:r>
        <w:tab/>
      </w:r>
      <w:r>
        <w:tab/>
      </w:r>
      <w:r w:rsidR="004777F5">
        <w:t xml:space="preserve">Tel: </w:t>
      </w:r>
      <w:r w:rsidR="006B54DC">
        <w:t>0208 708 2188</w:t>
      </w:r>
    </w:p>
    <w:p w14:paraId="0AAF2040" w14:textId="13C324DB" w:rsidR="006B54DC" w:rsidRDefault="00102F3A" w:rsidP="006B54DC">
      <w:pPr>
        <w:pStyle w:val="NoSpacing"/>
      </w:pPr>
      <w:r>
        <w:t xml:space="preserve">Cranbrook &amp; </w:t>
      </w:r>
      <w:proofErr w:type="spellStart"/>
      <w:r>
        <w:t>Loxford</w:t>
      </w:r>
      <w:proofErr w:type="spellEnd"/>
      <w:r>
        <w:tab/>
      </w:r>
      <w:r>
        <w:tab/>
      </w:r>
      <w:r w:rsidR="004777F5">
        <w:t xml:space="preserve">Tel: </w:t>
      </w:r>
      <w:r w:rsidR="006B54DC">
        <w:t>0208 708 2350</w:t>
      </w:r>
    </w:p>
    <w:p w14:paraId="71686198" w14:textId="3BA925BE" w:rsidR="006B54DC" w:rsidRDefault="006B54DC" w:rsidP="00A46731">
      <w:pPr>
        <w:pStyle w:val="NoSpacing"/>
      </w:pPr>
    </w:p>
    <w:p w14:paraId="1A316818" w14:textId="77777777" w:rsidR="009A2F32" w:rsidRDefault="009A2F32" w:rsidP="009A2F32">
      <w:pPr>
        <w:pStyle w:val="NoSpacing"/>
        <w:rPr>
          <w:b/>
        </w:rPr>
      </w:pPr>
      <w:r w:rsidRPr="00936A2E">
        <w:rPr>
          <w:b/>
        </w:rPr>
        <w:t>Redbridge Adults Community Learning Disability Service</w:t>
      </w:r>
    </w:p>
    <w:p w14:paraId="7B4B4CA4" w14:textId="77777777" w:rsidR="009A2F32" w:rsidRDefault="009A2F32" w:rsidP="00A46731">
      <w:pPr>
        <w:pStyle w:val="NoSpacing"/>
        <w:rPr>
          <w:rFonts w:eastAsia="Times New Roman"/>
          <w:color w:val="000000"/>
          <w:shd w:val="clear" w:color="auto" w:fill="FFFFFF"/>
          <w:lang w:eastAsia="en-GB"/>
        </w:rPr>
      </w:pPr>
      <w:r>
        <w:t xml:space="preserve">Tel: </w:t>
      </w:r>
      <w:r>
        <w:rPr>
          <w:rFonts w:eastAsia="Times New Roman"/>
          <w:color w:val="000000"/>
          <w:shd w:val="clear" w:color="auto" w:fill="FFFFFF"/>
          <w:lang w:eastAsia="en-GB"/>
        </w:rPr>
        <w:t>020 870 82318 (for Health Referrals)</w:t>
      </w:r>
    </w:p>
    <w:p w14:paraId="796C3738" w14:textId="1F82E300" w:rsidR="009A2F32" w:rsidRDefault="00000000" w:rsidP="00A46731">
      <w:pPr>
        <w:pStyle w:val="NoSpacing"/>
      </w:pPr>
      <w:hyperlink r:id="rId7" w:anchor="!/" w:history="1">
        <w:r w:rsidR="009A2F32" w:rsidRPr="009A2F32">
          <w:rPr>
            <w:rStyle w:val="Hyperlink"/>
          </w:rPr>
          <w:t>Referral</w:t>
        </w:r>
      </w:hyperlink>
    </w:p>
    <w:p w14:paraId="55672C9C" w14:textId="22A796F5" w:rsidR="009A2F32" w:rsidRDefault="009A2F32" w:rsidP="00A46731">
      <w:pPr>
        <w:pStyle w:val="NoSpacing"/>
      </w:pPr>
    </w:p>
    <w:p w14:paraId="749C6E51" w14:textId="77777777" w:rsidR="007B1576" w:rsidRPr="007B1576" w:rsidRDefault="007B1576" w:rsidP="007B1576">
      <w:pPr>
        <w:pStyle w:val="NoSpacing"/>
        <w:rPr>
          <w:b/>
        </w:rPr>
      </w:pPr>
      <w:r w:rsidRPr="007B1576">
        <w:rPr>
          <w:b/>
        </w:rPr>
        <w:t>Connexions</w:t>
      </w:r>
    </w:p>
    <w:p w14:paraId="7BB2F81F" w14:textId="250825D9" w:rsidR="000018A8" w:rsidRPr="000018A8" w:rsidRDefault="000018A8" w:rsidP="00A46731">
      <w:pPr>
        <w:pStyle w:val="NoSpacing"/>
      </w:pPr>
      <w:r w:rsidRPr="000018A8">
        <w:t>Tel:</w:t>
      </w:r>
      <w:r>
        <w:t xml:space="preserve"> 0208 708 2600</w:t>
      </w:r>
    </w:p>
    <w:p w14:paraId="7B64F026" w14:textId="0D07B4E2" w:rsidR="007B1576" w:rsidRPr="000018A8" w:rsidRDefault="000018A8" w:rsidP="00A46731">
      <w:pPr>
        <w:pStyle w:val="NoSpacing"/>
      </w:pPr>
      <w:r w:rsidRPr="000018A8">
        <w:t>Email: connexions@redbridge.gov.uk</w:t>
      </w:r>
    </w:p>
    <w:p w14:paraId="2E807ACD" w14:textId="77777777" w:rsidR="007B1576" w:rsidRDefault="007B1576" w:rsidP="00A46731">
      <w:pPr>
        <w:pStyle w:val="NoSpacing"/>
        <w:rPr>
          <w:b/>
        </w:rPr>
      </w:pPr>
    </w:p>
    <w:p w14:paraId="03584627" w14:textId="3F7E727E" w:rsidR="00102F3A" w:rsidRDefault="00102F3A" w:rsidP="00102F3A">
      <w:pPr>
        <w:pStyle w:val="NoSpacing"/>
        <w:rPr>
          <w:b/>
        </w:rPr>
      </w:pPr>
      <w:r w:rsidRPr="00102F3A">
        <w:rPr>
          <w:b/>
        </w:rPr>
        <w:t>First Contact Team</w:t>
      </w:r>
      <w:r>
        <w:rPr>
          <w:b/>
        </w:rPr>
        <w:t xml:space="preserve"> (Adults)</w:t>
      </w:r>
    </w:p>
    <w:p w14:paraId="316DD9EC" w14:textId="72004F51" w:rsidR="00102F3A" w:rsidRDefault="00102F3A" w:rsidP="00102F3A">
      <w:pPr>
        <w:pStyle w:val="NoSpacing"/>
      </w:pPr>
      <w:r w:rsidRPr="00102F3A">
        <w:t xml:space="preserve">Tel: </w:t>
      </w:r>
      <w:r>
        <w:t>020 8708 7333</w:t>
      </w:r>
    </w:p>
    <w:p w14:paraId="10EFC612" w14:textId="598E6CE4" w:rsidR="00C14CFE" w:rsidRDefault="00C14CFE" w:rsidP="00102F3A">
      <w:pPr>
        <w:pStyle w:val="NoSpacing"/>
      </w:pPr>
    </w:p>
    <w:p w14:paraId="677267AD" w14:textId="77777777" w:rsidR="00C14CFE" w:rsidRDefault="00C14CFE" w:rsidP="00102F3A">
      <w:pPr>
        <w:pStyle w:val="NoSpacing"/>
        <w:rPr>
          <w:b/>
        </w:rPr>
      </w:pPr>
      <w:r w:rsidRPr="00C14CFE">
        <w:rPr>
          <w:b/>
        </w:rPr>
        <w:t>Redbridge Children’s Occupational Therapy Service</w:t>
      </w:r>
    </w:p>
    <w:p w14:paraId="39639A20" w14:textId="4DC05B11" w:rsidR="00C14CFE" w:rsidRPr="00C14CFE" w:rsidRDefault="00C14CFE" w:rsidP="00102F3A">
      <w:pPr>
        <w:pStyle w:val="NoSpacing"/>
      </w:pPr>
      <w:r>
        <w:t>Link to referral form</w:t>
      </w:r>
    </w:p>
    <w:p w14:paraId="322AF805" w14:textId="77777777" w:rsidR="00F60B6F" w:rsidRDefault="00F60B6F" w:rsidP="00102F3A">
      <w:pPr>
        <w:pStyle w:val="NoSpacing"/>
        <w:rPr>
          <w:b/>
        </w:rPr>
      </w:pPr>
    </w:p>
    <w:p w14:paraId="47F44430" w14:textId="4E69212F" w:rsidR="00C14CFE" w:rsidRPr="00C14CFE" w:rsidRDefault="00C14CFE" w:rsidP="00102F3A">
      <w:pPr>
        <w:pStyle w:val="NoSpacing"/>
        <w:rPr>
          <w:b/>
        </w:rPr>
      </w:pPr>
      <w:r w:rsidRPr="00C14CFE">
        <w:rPr>
          <w:b/>
        </w:rPr>
        <w:t>Redbridge EWMHS</w:t>
      </w:r>
    </w:p>
    <w:p w14:paraId="73A35222" w14:textId="28E862ED" w:rsidR="00C14CFE" w:rsidRDefault="00C14CFE" w:rsidP="00102F3A">
      <w:pPr>
        <w:pStyle w:val="NoSpacing"/>
      </w:pPr>
      <w:r w:rsidRPr="00C14CFE">
        <w:t>Tel: 0300 555 1182</w:t>
      </w:r>
    </w:p>
    <w:p w14:paraId="050A12AF" w14:textId="77777777" w:rsidR="007B1576" w:rsidRDefault="007B1576" w:rsidP="00A46731">
      <w:pPr>
        <w:pStyle w:val="NoSpacing"/>
      </w:pPr>
    </w:p>
    <w:p w14:paraId="17D5DCE6" w14:textId="25723C15" w:rsidR="00936A2E" w:rsidRDefault="00EF2D4A" w:rsidP="00A46731">
      <w:pPr>
        <w:pStyle w:val="NoSpacing"/>
        <w:rPr>
          <w:b/>
        </w:rPr>
      </w:pPr>
      <w:r w:rsidRPr="00102F3A">
        <w:rPr>
          <w:b/>
        </w:rPr>
        <w:t>R</w:t>
      </w:r>
      <w:r w:rsidR="00102F3A">
        <w:rPr>
          <w:b/>
        </w:rPr>
        <w:t>edbridge Information, Advice and Support Service</w:t>
      </w:r>
      <w:r w:rsidR="001F49A0">
        <w:rPr>
          <w:b/>
        </w:rPr>
        <w:t xml:space="preserve"> for Special Educational Needs &amp; Disability</w:t>
      </w:r>
    </w:p>
    <w:p w14:paraId="24E0B0F0" w14:textId="77777777" w:rsidR="001F49A0" w:rsidRDefault="001F49A0" w:rsidP="00A46731">
      <w:pPr>
        <w:pStyle w:val="NoSpacing"/>
      </w:pPr>
      <w:r>
        <w:t xml:space="preserve">Tel: </w:t>
      </w:r>
      <w:r w:rsidRPr="001F49A0">
        <w:t>0208 708 8922</w:t>
      </w:r>
    </w:p>
    <w:p w14:paraId="2A77A901" w14:textId="4ACC90ED" w:rsidR="001F49A0" w:rsidRPr="001F49A0" w:rsidRDefault="001F49A0" w:rsidP="00A46731">
      <w:pPr>
        <w:pStyle w:val="NoSpacing"/>
      </w:pPr>
      <w:r w:rsidRPr="001F49A0">
        <w:t>https://redbridgeiass.org.uk/</w:t>
      </w:r>
    </w:p>
    <w:p w14:paraId="60975408" w14:textId="2B004326" w:rsidR="00EF2D4A" w:rsidRDefault="00EF2D4A" w:rsidP="00A46731">
      <w:pPr>
        <w:pStyle w:val="NoSpacing"/>
      </w:pPr>
    </w:p>
    <w:p w14:paraId="441CC07A" w14:textId="6CD84A83" w:rsidR="00C14CFE" w:rsidRDefault="00C14CFE" w:rsidP="00A46731">
      <w:pPr>
        <w:pStyle w:val="NoSpacing"/>
        <w:rPr>
          <w:b/>
        </w:rPr>
      </w:pPr>
      <w:r>
        <w:rPr>
          <w:b/>
        </w:rPr>
        <w:t>SEND Preparing for Adulthood Team</w:t>
      </w:r>
    </w:p>
    <w:p w14:paraId="40AF79C1" w14:textId="01E0F6FF" w:rsidR="00C14CFE" w:rsidRPr="00C14CFE" w:rsidRDefault="00C14CFE" w:rsidP="00A46731">
      <w:pPr>
        <w:pStyle w:val="NoSpacing"/>
      </w:pPr>
      <w:r>
        <w:t xml:space="preserve">Email: </w:t>
      </w:r>
      <w:r w:rsidRPr="00C14CFE">
        <w:t>post16senteam@redbridge.gov.uk</w:t>
      </w:r>
    </w:p>
    <w:p w14:paraId="0884B349" w14:textId="77777777" w:rsidR="00C14CFE" w:rsidRDefault="00C14CFE" w:rsidP="00A46731">
      <w:pPr>
        <w:pStyle w:val="NoSpacing"/>
      </w:pPr>
    </w:p>
    <w:p w14:paraId="11BB06AE" w14:textId="1C4F731C" w:rsidR="004777F5" w:rsidRPr="00102F3A" w:rsidRDefault="004777F5" w:rsidP="00A46731">
      <w:pPr>
        <w:pStyle w:val="NoSpacing"/>
        <w:rPr>
          <w:b/>
        </w:rPr>
      </w:pPr>
      <w:r w:rsidRPr="00102F3A">
        <w:rPr>
          <w:b/>
        </w:rPr>
        <w:t>Specialist Community Health Services for Children and Young People</w:t>
      </w:r>
    </w:p>
    <w:p w14:paraId="5197CFA5" w14:textId="77777777" w:rsidR="004777F5" w:rsidRDefault="004777F5" w:rsidP="004777F5">
      <w:pPr>
        <w:pStyle w:val="NoSpacing"/>
      </w:pPr>
      <w:r>
        <w:t>Tel: 0300 300 1619</w:t>
      </w:r>
    </w:p>
    <w:p w14:paraId="56E40CFB" w14:textId="712DFC24" w:rsidR="003E327C" w:rsidRDefault="004777F5" w:rsidP="004777F5">
      <w:pPr>
        <w:pStyle w:val="NoSpacing"/>
      </w:pPr>
      <w:r>
        <w:t xml:space="preserve">Email: </w:t>
      </w:r>
      <w:hyperlink r:id="rId8" w:history="1">
        <w:r w:rsidR="00AA7F7E" w:rsidRPr="00B96480">
          <w:rPr>
            <w:rStyle w:val="Hyperlink"/>
          </w:rPr>
          <w:t>nem-tr.redbridge.paediatrics@nhs.net</w:t>
        </w:r>
      </w:hyperlink>
    </w:p>
    <w:p w14:paraId="335CB04F" w14:textId="77777777" w:rsidR="004777F5" w:rsidRDefault="004777F5" w:rsidP="00A46731">
      <w:pPr>
        <w:pStyle w:val="NoSpacing"/>
      </w:pPr>
    </w:p>
    <w:p w14:paraId="7630357C" w14:textId="21F20D71" w:rsidR="00EF2D4A" w:rsidRPr="00102F3A" w:rsidRDefault="00102F3A" w:rsidP="00A46731">
      <w:pPr>
        <w:pStyle w:val="NoSpacing"/>
        <w:rPr>
          <w:u w:val="single"/>
        </w:rPr>
      </w:pPr>
      <w:r>
        <w:rPr>
          <w:u w:val="single"/>
        </w:rPr>
        <w:t>Key information</w:t>
      </w:r>
    </w:p>
    <w:p w14:paraId="6BA9B847" w14:textId="77777777" w:rsidR="00102F3A" w:rsidRDefault="00102F3A" w:rsidP="00A46731">
      <w:pPr>
        <w:pStyle w:val="NoSpacing"/>
      </w:pPr>
    </w:p>
    <w:p w14:paraId="36A1C461" w14:textId="05598488" w:rsidR="00EF2D4A" w:rsidRDefault="00000000" w:rsidP="00A46731">
      <w:pPr>
        <w:pStyle w:val="NoSpacing"/>
      </w:pPr>
      <w:hyperlink r:id="rId9" w:history="1">
        <w:r w:rsidR="00EF2D4A" w:rsidRPr="000859B7">
          <w:rPr>
            <w:rStyle w:val="Hyperlink"/>
          </w:rPr>
          <w:t>Local Offer</w:t>
        </w:r>
      </w:hyperlink>
    </w:p>
    <w:p w14:paraId="6B2936D9" w14:textId="38A877AB" w:rsidR="00EF2D4A" w:rsidRDefault="00000000" w:rsidP="00A46731">
      <w:pPr>
        <w:pStyle w:val="NoSpacing"/>
      </w:pPr>
      <w:hyperlink r:id="rId10" w:history="1">
        <w:r w:rsidR="00EF2D4A" w:rsidRPr="000859B7">
          <w:rPr>
            <w:rStyle w:val="Hyperlink"/>
          </w:rPr>
          <w:t>MyLife website</w:t>
        </w:r>
      </w:hyperlink>
    </w:p>
    <w:p w14:paraId="3C07A723" w14:textId="6F329C4B" w:rsidR="00936A2E" w:rsidRDefault="00936A2E" w:rsidP="00A46731">
      <w:pPr>
        <w:pStyle w:val="NoSpacing"/>
      </w:pPr>
    </w:p>
    <w:p w14:paraId="03A2E48B" w14:textId="1B266AF6" w:rsidR="00E7057F" w:rsidRDefault="00E7057F" w:rsidP="00A46731">
      <w:pPr>
        <w:pStyle w:val="NoSpacing"/>
      </w:pPr>
    </w:p>
    <w:p w14:paraId="2BE21744" w14:textId="77777777" w:rsidR="00E7057F" w:rsidRDefault="00E7057F" w:rsidP="00A46731">
      <w:pPr>
        <w:pStyle w:val="NoSpacing"/>
      </w:pPr>
    </w:p>
    <w:p w14:paraId="0F8554E0" w14:textId="77777777" w:rsidR="00102F3A" w:rsidRDefault="00102F3A" w:rsidP="00F1774C">
      <w:pPr>
        <w:pStyle w:val="NoSpacing"/>
        <w:rPr>
          <w:b/>
        </w:rPr>
      </w:pPr>
    </w:p>
    <w:p w14:paraId="618ED9C0" w14:textId="690F6AE9" w:rsidR="00F1774C" w:rsidRPr="00D062D2" w:rsidRDefault="00F1774C" w:rsidP="00F1774C">
      <w:pPr>
        <w:pStyle w:val="NoSpacing"/>
        <w:rPr>
          <w:b/>
        </w:rPr>
      </w:pPr>
      <w:r w:rsidRPr="00D062D2">
        <w:rPr>
          <w:b/>
        </w:rPr>
        <w:lastRenderedPageBreak/>
        <w:t>Checklist</w:t>
      </w:r>
    </w:p>
    <w:p w14:paraId="284F949B" w14:textId="1004C75E" w:rsidR="00D062D2" w:rsidRDefault="00D062D2" w:rsidP="00F1774C">
      <w:pPr>
        <w:pStyle w:val="NoSpacing"/>
      </w:pPr>
    </w:p>
    <w:tbl>
      <w:tblPr>
        <w:tblStyle w:val="TableGrid"/>
        <w:tblW w:w="9209" w:type="dxa"/>
        <w:tblLook w:val="04A0" w:firstRow="1" w:lastRow="0" w:firstColumn="1" w:lastColumn="0" w:noHBand="0" w:noVBand="1"/>
      </w:tblPr>
      <w:tblGrid>
        <w:gridCol w:w="846"/>
        <w:gridCol w:w="8363"/>
      </w:tblGrid>
      <w:tr w:rsidR="00D062D2" w14:paraId="1EABC8CB" w14:textId="77777777" w:rsidTr="00D062D2">
        <w:tc>
          <w:tcPr>
            <w:tcW w:w="846" w:type="dxa"/>
          </w:tcPr>
          <w:p w14:paraId="7C3B3157" w14:textId="08DCE114" w:rsidR="00D062D2" w:rsidRDefault="00D062D2" w:rsidP="00F1774C">
            <w:pPr>
              <w:pStyle w:val="NoSpacing"/>
            </w:pPr>
            <w:r>
              <w:t>Age</w:t>
            </w:r>
          </w:p>
        </w:tc>
        <w:tc>
          <w:tcPr>
            <w:tcW w:w="8363" w:type="dxa"/>
          </w:tcPr>
          <w:p w14:paraId="05E0DDDB" w14:textId="73764CE8" w:rsidR="00D062D2" w:rsidRDefault="00D062D2" w:rsidP="00F1774C">
            <w:pPr>
              <w:pStyle w:val="NoSpacing"/>
            </w:pPr>
            <w:r>
              <w:t>Action</w:t>
            </w:r>
          </w:p>
        </w:tc>
      </w:tr>
      <w:tr w:rsidR="00D062D2" w14:paraId="7F0C5B94" w14:textId="77777777" w:rsidTr="00D062D2">
        <w:tc>
          <w:tcPr>
            <w:tcW w:w="846" w:type="dxa"/>
          </w:tcPr>
          <w:p w14:paraId="3F42C9FF" w14:textId="31D67000" w:rsidR="00D062D2" w:rsidRDefault="00D062D2" w:rsidP="00F1774C">
            <w:pPr>
              <w:pStyle w:val="NoSpacing"/>
            </w:pPr>
            <w:r>
              <w:t>13-14</w:t>
            </w:r>
          </w:p>
        </w:tc>
        <w:tc>
          <w:tcPr>
            <w:tcW w:w="8363" w:type="dxa"/>
          </w:tcPr>
          <w:p w14:paraId="54B40A12" w14:textId="3DB5BE78" w:rsidR="00D062D2" w:rsidRDefault="00D062D2" w:rsidP="00D062D2">
            <w:pPr>
              <w:pStyle w:val="NoSpacing"/>
              <w:numPr>
                <w:ilvl w:val="0"/>
                <w:numId w:val="4"/>
              </w:numPr>
            </w:pPr>
            <w:r>
              <w:t xml:space="preserve">Make sure you attend Annual EHCP Reviews </w:t>
            </w:r>
            <w:r w:rsidR="00826212">
              <w:t xml:space="preserve">to 19 years old as </w:t>
            </w:r>
            <w:r>
              <w:t>held at your young person’s school. EHC plans must include provision to assist in preparing for adulthood from Year 9.</w:t>
            </w:r>
          </w:p>
          <w:p w14:paraId="3EFAB0F1" w14:textId="0121D13F" w:rsidR="00D062D2" w:rsidRDefault="00D062D2" w:rsidP="00F1774C">
            <w:pPr>
              <w:pStyle w:val="NoSpacing"/>
              <w:numPr>
                <w:ilvl w:val="0"/>
                <w:numId w:val="4"/>
              </w:numPr>
            </w:pPr>
            <w:r>
              <w:t>Make sure that your young person has their Annual Health Check</w:t>
            </w:r>
            <w:r w:rsidR="00C6767D">
              <w:t xml:space="preserve"> from 14</w:t>
            </w:r>
            <w:r>
              <w:t xml:space="preserve">/ is </w:t>
            </w:r>
            <w:r w:rsidRPr="00F1774C">
              <w:t>seen by</w:t>
            </w:r>
            <w:r>
              <w:t xml:space="preserve"> relevant</w:t>
            </w:r>
            <w:r w:rsidRPr="00F1774C">
              <w:t xml:space="preserve"> health professionals</w:t>
            </w:r>
            <w:r>
              <w:t>. Keep a record of any information about their diagnosis.</w:t>
            </w:r>
            <w:r w:rsidRPr="00F1774C">
              <w:t xml:space="preserve"> </w:t>
            </w:r>
          </w:p>
          <w:p w14:paraId="004C0299" w14:textId="3C45B225" w:rsidR="00D062D2" w:rsidRDefault="00D062D2" w:rsidP="00D062D2">
            <w:pPr>
              <w:pStyle w:val="NoSpacing"/>
              <w:numPr>
                <w:ilvl w:val="0"/>
                <w:numId w:val="4"/>
              </w:numPr>
            </w:pPr>
            <w:r w:rsidRPr="00F1774C">
              <w:t>Check out the</w:t>
            </w:r>
            <w:r>
              <w:t xml:space="preserve"> Redbridge</w:t>
            </w:r>
            <w:r w:rsidRPr="00F1774C">
              <w:t xml:space="preserve"> </w:t>
            </w:r>
            <w:hyperlink r:id="rId11" w:history="1">
              <w:r w:rsidRPr="00F1774C">
                <w:rPr>
                  <w:rStyle w:val="Hyperlink"/>
                </w:rPr>
                <w:t>SEND Local Offer</w:t>
              </w:r>
            </w:hyperlink>
            <w:r>
              <w:t xml:space="preserve"> – our dedicated website which </w:t>
            </w:r>
            <w:r w:rsidRPr="00011792">
              <w:t xml:space="preserve">gives children and young people with special educational needs or disabilities and their families information about what support services </w:t>
            </w:r>
            <w:r>
              <w:t>are available in the</w:t>
            </w:r>
            <w:r w:rsidRPr="00011792">
              <w:t xml:space="preserve"> local area.</w:t>
            </w:r>
          </w:p>
        </w:tc>
      </w:tr>
      <w:tr w:rsidR="00D062D2" w14:paraId="532CB35A" w14:textId="77777777" w:rsidTr="00D062D2">
        <w:tc>
          <w:tcPr>
            <w:tcW w:w="846" w:type="dxa"/>
          </w:tcPr>
          <w:p w14:paraId="18223F38" w14:textId="496A9023" w:rsidR="00D062D2" w:rsidRDefault="00D062D2" w:rsidP="00F1774C">
            <w:pPr>
              <w:pStyle w:val="NoSpacing"/>
            </w:pPr>
            <w:r>
              <w:t>16+</w:t>
            </w:r>
          </w:p>
        </w:tc>
        <w:tc>
          <w:tcPr>
            <w:tcW w:w="8363" w:type="dxa"/>
          </w:tcPr>
          <w:p w14:paraId="2F07AF9D" w14:textId="77777777" w:rsidR="00D062D2" w:rsidRDefault="00D062D2" w:rsidP="00F1774C">
            <w:pPr>
              <w:pStyle w:val="NoSpacing"/>
              <w:numPr>
                <w:ilvl w:val="0"/>
                <w:numId w:val="4"/>
              </w:numPr>
            </w:pPr>
            <w:r>
              <w:t>Attend Transition Support Group sessions</w:t>
            </w:r>
          </w:p>
          <w:p w14:paraId="4FC67C9A" w14:textId="77777777" w:rsidR="00D062D2" w:rsidRDefault="00D062D2" w:rsidP="00D062D2">
            <w:pPr>
              <w:pStyle w:val="NoSpacing"/>
              <w:numPr>
                <w:ilvl w:val="0"/>
                <w:numId w:val="4"/>
              </w:numPr>
            </w:pPr>
            <w:r w:rsidRPr="00F1774C">
              <w:t>Visit any colleges or day services that your young person may be interested in attending</w:t>
            </w:r>
          </w:p>
          <w:p w14:paraId="74E01258" w14:textId="5FA4FD2A" w:rsidR="00D062D2" w:rsidRDefault="00C14CFE" w:rsidP="00D062D2">
            <w:pPr>
              <w:pStyle w:val="NoSpacing"/>
              <w:numPr>
                <w:ilvl w:val="0"/>
                <w:numId w:val="4"/>
              </w:numPr>
            </w:pPr>
            <w:r>
              <w:t>Contact Connexions</w:t>
            </w:r>
            <w:r w:rsidR="00826212">
              <w:t xml:space="preserve"> or school</w:t>
            </w:r>
            <w:r>
              <w:t xml:space="preserve"> to explore options</w:t>
            </w:r>
            <w:r w:rsidR="00826212">
              <w:t xml:space="preserve"> around career advice </w:t>
            </w:r>
          </w:p>
        </w:tc>
      </w:tr>
      <w:tr w:rsidR="00D062D2" w14:paraId="3DA2BC28" w14:textId="77777777" w:rsidTr="00D062D2">
        <w:tc>
          <w:tcPr>
            <w:tcW w:w="846" w:type="dxa"/>
          </w:tcPr>
          <w:p w14:paraId="74E9676C" w14:textId="42314B37" w:rsidR="00D062D2" w:rsidRDefault="00D062D2" w:rsidP="00F1774C">
            <w:pPr>
              <w:pStyle w:val="NoSpacing"/>
            </w:pPr>
            <w:r>
              <w:t>17.5</w:t>
            </w:r>
          </w:p>
        </w:tc>
        <w:tc>
          <w:tcPr>
            <w:tcW w:w="8363" w:type="dxa"/>
          </w:tcPr>
          <w:p w14:paraId="41BBBA1D" w14:textId="67B6A556" w:rsidR="00D062D2" w:rsidRDefault="00D062D2" w:rsidP="00F1774C">
            <w:pPr>
              <w:pStyle w:val="NoSpacing"/>
              <w:numPr>
                <w:ilvl w:val="0"/>
                <w:numId w:val="4"/>
              </w:numPr>
            </w:pPr>
            <w:r>
              <w:t>Ensure you know the name and contact details of the worker who will be completing the Transition Assessment for your young person.</w:t>
            </w:r>
          </w:p>
          <w:p w14:paraId="1503B559" w14:textId="64F1B234" w:rsidR="00D062D2" w:rsidRDefault="00D062D2" w:rsidP="00D062D2">
            <w:pPr>
              <w:pStyle w:val="NoSpacing"/>
              <w:numPr>
                <w:ilvl w:val="0"/>
                <w:numId w:val="4"/>
              </w:numPr>
            </w:pPr>
            <w:r>
              <w:t>If your young person is eligible for Adult Social Care, c</w:t>
            </w:r>
            <w:r w:rsidRPr="00F1774C">
              <w:t>omplete the Financi</w:t>
            </w:r>
            <w:r>
              <w:t>al Assessment form</w:t>
            </w:r>
          </w:p>
          <w:p w14:paraId="622DBFAE" w14:textId="0714EFF1" w:rsidR="00F60B6F" w:rsidRPr="009C3FC7" w:rsidRDefault="00F60B6F" w:rsidP="00D062D2">
            <w:pPr>
              <w:pStyle w:val="NoSpacing"/>
              <w:numPr>
                <w:ilvl w:val="0"/>
                <w:numId w:val="4"/>
              </w:numPr>
            </w:pPr>
            <w:r>
              <w:t xml:space="preserve">If your young person is known to a health service </w:t>
            </w:r>
            <w:proofErr w:type="gramStart"/>
            <w:r w:rsidR="00D22F4B">
              <w:rPr>
                <w:rFonts w:eastAsia="Times New Roman"/>
              </w:rPr>
              <w:t>e.g</w:t>
            </w:r>
            <w:r w:rsidR="00D22F4B" w:rsidRPr="009C3FC7">
              <w:rPr>
                <w:rFonts w:eastAsia="Times New Roman"/>
              </w:rPr>
              <w:t>.</w:t>
            </w:r>
            <w:proofErr w:type="gramEnd"/>
            <w:r w:rsidR="00D22F4B" w:rsidRPr="009C3FC7">
              <w:rPr>
                <w:rFonts w:eastAsia="Times New Roman"/>
              </w:rPr>
              <w:t xml:space="preserve"> EWMHS/CAMHS professionals, paediatrics, genetics, other specialist consultants, Nursing, Allied Health Professionals – SLT, Physio, OT), </w:t>
            </w:r>
            <w:r w:rsidRPr="009C3FC7">
              <w:t>ensure you have their latest assessment</w:t>
            </w:r>
            <w:r w:rsidR="005B6849" w:rsidRPr="009C3FC7">
              <w:t xml:space="preserve">/ </w:t>
            </w:r>
            <w:r w:rsidR="004634EE" w:rsidRPr="009C3FC7">
              <w:t>reports are available</w:t>
            </w:r>
            <w:r w:rsidRPr="009C3FC7">
              <w:t xml:space="preserve"> ready for the Transition Assessment</w:t>
            </w:r>
          </w:p>
          <w:p w14:paraId="451FDB59" w14:textId="77777777" w:rsidR="00265A3D" w:rsidRPr="009C3FC7" w:rsidRDefault="00AA333C" w:rsidP="00265A3D">
            <w:pPr>
              <w:pStyle w:val="NoSpacing"/>
              <w:numPr>
                <w:ilvl w:val="0"/>
                <w:numId w:val="4"/>
              </w:numPr>
            </w:pPr>
            <w:r w:rsidRPr="009C3FC7">
              <w:t>Ensure you have an updated version of your young person’s Hospital Passport</w:t>
            </w:r>
          </w:p>
          <w:p w14:paraId="7054507F" w14:textId="716830AA" w:rsidR="00265A3D" w:rsidRPr="009C3FC7" w:rsidRDefault="006E2785" w:rsidP="00265A3D">
            <w:pPr>
              <w:pStyle w:val="NoSpacing"/>
              <w:numPr>
                <w:ilvl w:val="0"/>
                <w:numId w:val="4"/>
              </w:numPr>
            </w:pPr>
            <w:r w:rsidRPr="009C3FC7">
              <w:t>If your young person meets the service criteria</w:t>
            </w:r>
            <w:r w:rsidRPr="009C3FC7">
              <w:rPr>
                <w:rFonts w:eastAsia="Times New Roman"/>
              </w:rPr>
              <w:t xml:space="preserve"> for </w:t>
            </w:r>
            <w:r w:rsidRPr="009C3FC7">
              <w:t>Redbridge Adults Community Learning Disability Service</w:t>
            </w:r>
            <w:r w:rsidR="00265A3D" w:rsidRPr="009C3FC7">
              <w:t xml:space="preserve">. </w:t>
            </w:r>
            <w:r w:rsidR="00265A3D" w:rsidRPr="009C3FC7">
              <w:rPr>
                <w:bCs/>
                <w:shd w:val="clear" w:color="auto" w:fill="FFFFFF"/>
                <w:lang w:eastAsia="en-GB"/>
              </w:rPr>
              <w:t>All new referrals to</w:t>
            </w:r>
            <w:r w:rsidR="00265A3D" w:rsidRPr="009C3FC7">
              <w:rPr>
                <w:b/>
                <w:bCs/>
                <w:shd w:val="clear" w:color="auto" w:fill="FFFFFF"/>
                <w:lang w:eastAsia="en-GB"/>
              </w:rPr>
              <w:t xml:space="preserve"> </w:t>
            </w:r>
            <w:r w:rsidR="00265A3D" w:rsidRPr="009C3FC7">
              <w:t>Redbridge Adults Community Learning Disability Service</w:t>
            </w:r>
            <w:r w:rsidR="00265A3D" w:rsidRPr="009C3FC7">
              <w:rPr>
                <w:shd w:val="clear" w:color="auto" w:fill="FFFFFF"/>
                <w:lang w:eastAsia="en-GB"/>
              </w:rPr>
              <w:t xml:space="preserve"> </w:t>
            </w:r>
            <w:proofErr w:type="gramStart"/>
            <w:r w:rsidR="00265A3D" w:rsidRPr="009C3FC7">
              <w:rPr>
                <w:shd w:val="clear" w:color="auto" w:fill="FFFFFF"/>
                <w:lang w:eastAsia="en-GB"/>
              </w:rPr>
              <w:t>is</w:t>
            </w:r>
            <w:proofErr w:type="gramEnd"/>
            <w:r w:rsidR="00265A3D" w:rsidRPr="009C3FC7">
              <w:rPr>
                <w:shd w:val="clear" w:color="auto" w:fill="FFFFFF"/>
                <w:lang w:eastAsia="en-GB"/>
              </w:rPr>
              <w:t xml:space="preserve"> done through multiple ways based on who is initiating the referral and needs to provide supporting evidences the person has learning disability. Some of the recognised ways person could be referred to LD service is as follows:</w:t>
            </w:r>
          </w:p>
          <w:p w14:paraId="6DA0FAD1" w14:textId="0BDB2334" w:rsidR="00265A3D" w:rsidRPr="009C3FC7" w:rsidRDefault="00265A3D" w:rsidP="00265A3D">
            <w:pPr>
              <w:numPr>
                <w:ilvl w:val="1"/>
                <w:numId w:val="13"/>
              </w:numPr>
              <w:spacing w:after="140" w:line="252" w:lineRule="auto"/>
              <w:contextualSpacing/>
              <w:rPr>
                <w:rFonts w:eastAsia="Times New Roman"/>
                <w:shd w:val="clear" w:color="auto" w:fill="FFFFFF"/>
                <w:lang w:eastAsia="en-GB"/>
              </w:rPr>
            </w:pPr>
            <w:r w:rsidRPr="009C3FC7">
              <w:rPr>
                <w:rFonts w:eastAsia="Times New Roman"/>
                <w:shd w:val="clear" w:color="auto" w:fill="FFFFFF"/>
                <w:lang w:eastAsia="en-GB"/>
              </w:rPr>
              <w:t>From Any of Redbrid</w:t>
            </w:r>
            <w:r w:rsidR="00D904A3">
              <w:rPr>
                <w:rFonts w:eastAsia="Times New Roman"/>
                <w:shd w:val="clear" w:color="auto" w:fill="FFFFFF"/>
                <w:lang w:eastAsia="en-GB"/>
              </w:rPr>
              <w:t xml:space="preserve">ge Children’s Social Services </w:t>
            </w:r>
          </w:p>
          <w:p w14:paraId="53C3064E" w14:textId="66D3321F" w:rsidR="00265A3D" w:rsidRPr="009C3FC7" w:rsidRDefault="00265A3D" w:rsidP="00265A3D">
            <w:pPr>
              <w:numPr>
                <w:ilvl w:val="1"/>
                <w:numId w:val="13"/>
              </w:numPr>
              <w:spacing w:after="140" w:line="252" w:lineRule="auto"/>
              <w:contextualSpacing/>
              <w:rPr>
                <w:rFonts w:eastAsia="Times New Roman"/>
                <w:shd w:val="clear" w:color="auto" w:fill="FFFFFF"/>
                <w:lang w:eastAsia="en-GB"/>
              </w:rPr>
            </w:pPr>
            <w:r w:rsidRPr="009C3FC7">
              <w:rPr>
                <w:rFonts w:eastAsia="Times New Roman"/>
                <w:shd w:val="clear" w:color="auto" w:fill="FFFFFF"/>
                <w:lang w:eastAsia="en-GB"/>
              </w:rPr>
              <w:t>From Any Redbridge Children or Adul</w:t>
            </w:r>
            <w:r w:rsidR="00D904A3">
              <w:rPr>
                <w:rFonts w:eastAsia="Times New Roman"/>
                <w:shd w:val="clear" w:color="auto" w:fill="FFFFFF"/>
                <w:lang w:eastAsia="en-GB"/>
              </w:rPr>
              <w:t xml:space="preserve">ts NELFT Health Professionals </w:t>
            </w:r>
          </w:p>
          <w:p w14:paraId="7BD5CB34" w14:textId="0077E250" w:rsidR="00265A3D" w:rsidRPr="009C3FC7" w:rsidRDefault="00265A3D" w:rsidP="00265A3D">
            <w:pPr>
              <w:numPr>
                <w:ilvl w:val="1"/>
                <w:numId w:val="13"/>
              </w:numPr>
              <w:spacing w:after="140" w:line="252" w:lineRule="auto"/>
              <w:contextualSpacing/>
              <w:rPr>
                <w:rFonts w:eastAsia="Times New Roman"/>
                <w:shd w:val="clear" w:color="auto" w:fill="FFFFFF"/>
                <w:lang w:eastAsia="en-GB"/>
              </w:rPr>
            </w:pPr>
            <w:r w:rsidRPr="009C3FC7">
              <w:rPr>
                <w:rFonts w:eastAsia="Times New Roman"/>
                <w:shd w:val="clear" w:color="auto" w:fill="FFFFFF"/>
                <w:lang w:eastAsia="en-GB"/>
              </w:rPr>
              <w:t>From Any Redbridge Adults Social Care</w:t>
            </w:r>
            <w:r w:rsidR="00D904A3" w:rsidRPr="009C3FC7">
              <w:rPr>
                <w:rFonts w:eastAsia="Times New Roman"/>
                <w:shd w:val="clear" w:color="auto" w:fill="FFFFFF"/>
                <w:lang w:eastAsia="en-GB"/>
              </w:rPr>
              <w:t xml:space="preserve"> </w:t>
            </w:r>
          </w:p>
          <w:p w14:paraId="53E1872B" w14:textId="77777777" w:rsidR="00265A3D" w:rsidRPr="009C3FC7" w:rsidRDefault="00265A3D" w:rsidP="00265A3D">
            <w:pPr>
              <w:numPr>
                <w:ilvl w:val="1"/>
                <w:numId w:val="13"/>
              </w:numPr>
              <w:spacing w:after="140" w:line="252" w:lineRule="auto"/>
              <w:contextualSpacing/>
              <w:rPr>
                <w:rFonts w:eastAsia="Times New Roman"/>
                <w:shd w:val="clear" w:color="auto" w:fill="FFFFFF"/>
                <w:lang w:eastAsia="en-GB"/>
              </w:rPr>
            </w:pPr>
            <w:r w:rsidRPr="009C3FC7">
              <w:rPr>
                <w:rFonts w:eastAsia="Times New Roman"/>
                <w:shd w:val="clear" w:color="auto" w:fill="FFFFFF"/>
                <w:lang w:eastAsia="en-GB"/>
              </w:rPr>
              <w:t>From Family member – Redbridge MyLife Contact Form or via Telephone to First Contact Service on 02087087333 (for social care) and 020 870 82318 (for Health Referrals)</w:t>
            </w:r>
          </w:p>
          <w:p w14:paraId="0E0B7170" w14:textId="2D227D95" w:rsidR="00265A3D" w:rsidRPr="009C3FC7" w:rsidRDefault="00265A3D" w:rsidP="00265A3D">
            <w:pPr>
              <w:numPr>
                <w:ilvl w:val="1"/>
                <w:numId w:val="13"/>
              </w:numPr>
              <w:spacing w:after="140" w:line="252" w:lineRule="auto"/>
              <w:contextualSpacing/>
              <w:rPr>
                <w:rFonts w:eastAsia="Times New Roman"/>
                <w:shd w:val="clear" w:color="auto" w:fill="FFFFFF"/>
                <w:lang w:eastAsia="en-GB"/>
              </w:rPr>
            </w:pPr>
            <w:r w:rsidRPr="009C3FC7">
              <w:rPr>
                <w:rFonts w:eastAsia="Times New Roman"/>
                <w:shd w:val="clear" w:color="auto" w:fill="FFFFFF"/>
                <w:lang w:eastAsia="en-GB"/>
              </w:rPr>
              <w:t xml:space="preserve">From </w:t>
            </w:r>
            <w:r w:rsidR="00D904A3">
              <w:rPr>
                <w:rFonts w:eastAsia="Times New Roman"/>
                <w:shd w:val="clear" w:color="auto" w:fill="FFFFFF"/>
                <w:lang w:eastAsia="en-GB"/>
              </w:rPr>
              <w:t>the young person</w:t>
            </w:r>
            <w:r w:rsidRPr="009C3FC7">
              <w:rPr>
                <w:rFonts w:eastAsia="Times New Roman"/>
                <w:shd w:val="clear" w:color="auto" w:fill="FFFFFF"/>
                <w:lang w:eastAsia="en-GB"/>
              </w:rPr>
              <w:t>- Redbridge MyLife Contact Form or via Telephone to First Contact Service on 02087087333 (for social care) and 020 870 82318 (for Health Referrals)</w:t>
            </w:r>
          </w:p>
          <w:p w14:paraId="680B8FFB" w14:textId="77777777" w:rsidR="00265A3D" w:rsidRPr="009C3FC7" w:rsidRDefault="00265A3D" w:rsidP="00265A3D">
            <w:pPr>
              <w:numPr>
                <w:ilvl w:val="1"/>
                <w:numId w:val="13"/>
              </w:numPr>
              <w:spacing w:after="140" w:line="252" w:lineRule="auto"/>
              <w:contextualSpacing/>
              <w:rPr>
                <w:rFonts w:eastAsia="Times New Roman"/>
                <w:shd w:val="clear" w:color="auto" w:fill="FFFFFF"/>
                <w:lang w:eastAsia="en-GB"/>
              </w:rPr>
            </w:pPr>
            <w:r w:rsidRPr="009C3FC7">
              <w:rPr>
                <w:rFonts w:eastAsia="Times New Roman"/>
                <w:shd w:val="clear" w:color="auto" w:fill="FFFFFF"/>
                <w:lang w:eastAsia="en-GB"/>
              </w:rPr>
              <w:t>From Outside of the Borough (Family/GP/Self/Professionals/Care Homes) Redbridge MyLife Contact Form or via Telephone to First Contact Service on 02087087333 (for social care) and 020 870 82318 (for Health Referrals)</w:t>
            </w:r>
          </w:p>
          <w:p w14:paraId="1E9F762A" w14:textId="77777777" w:rsidR="00265A3D" w:rsidRPr="009C3FC7" w:rsidRDefault="00265A3D" w:rsidP="00265A3D">
            <w:pPr>
              <w:numPr>
                <w:ilvl w:val="1"/>
                <w:numId w:val="13"/>
              </w:numPr>
              <w:spacing w:after="140" w:line="252" w:lineRule="auto"/>
              <w:contextualSpacing/>
              <w:rPr>
                <w:rFonts w:eastAsia="Times New Roman"/>
                <w:shd w:val="clear" w:color="auto" w:fill="FFFFFF"/>
                <w:lang w:eastAsia="en-GB"/>
              </w:rPr>
            </w:pPr>
            <w:r w:rsidRPr="009C3FC7">
              <w:rPr>
                <w:rFonts w:eastAsia="Times New Roman"/>
                <w:shd w:val="clear" w:color="auto" w:fill="FFFFFF"/>
                <w:lang w:eastAsia="en-GB"/>
              </w:rPr>
              <w:t>From GP: Redbridge MyLife Contact Form or via Telephone to First Contact Service on 02087087333 (for social care) and 020 870 82318 (for Health Referrals)</w:t>
            </w:r>
          </w:p>
          <w:p w14:paraId="6684E4E6" w14:textId="77777777" w:rsidR="00265A3D" w:rsidRPr="009C3FC7" w:rsidRDefault="00265A3D" w:rsidP="00265A3D">
            <w:pPr>
              <w:numPr>
                <w:ilvl w:val="1"/>
                <w:numId w:val="13"/>
              </w:numPr>
              <w:spacing w:after="140" w:line="252" w:lineRule="auto"/>
              <w:contextualSpacing/>
              <w:rPr>
                <w:rFonts w:eastAsia="Times New Roman"/>
                <w:shd w:val="clear" w:color="auto" w:fill="FFFFFF"/>
                <w:lang w:eastAsia="en-GB"/>
              </w:rPr>
            </w:pPr>
            <w:r w:rsidRPr="009C3FC7">
              <w:rPr>
                <w:rFonts w:eastAsia="Times New Roman"/>
                <w:shd w:val="clear" w:color="auto" w:fill="FFFFFF"/>
                <w:lang w:eastAsia="en-GB"/>
              </w:rPr>
              <w:t>From Acute Hospitals and None NELFT Hospitals - Redbridge MyLife Contact Form or via Telephone to First Contact Service on 02087087333 (for social care) and 020 870 82318 (for Health Referrals)</w:t>
            </w:r>
          </w:p>
          <w:p w14:paraId="134E3BE0" w14:textId="77777777" w:rsidR="00265A3D" w:rsidRPr="009C3FC7" w:rsidRDefault="00265A3D" w:rsidP="00265A3D">
            <w:pPr>
              <w:numPr>
                <w:ilvl w:val="1"/>
                <w:numId w:val="13"/>
              </w:numPr>
              <w:spacing w:after="140" w:line="252" w:lineRule="auto"/>
              <w:contextualSpacing/>
              <w:rPr>
                <w:rFonts w:eastAsia="Times New Roman"/>
                <w:shd w:val="clear" w:color="auto" w:fill="FFFFFF"/>
                <w:lang w:eastAsia="en-GB"/>
              </w:rPr>
            </w:pPr>
            <w:r w:rsidRPr="009C3FC7">
              <w:rPr>
                <w:rFonts w:eastAsia="Times New Roman"/>
                <w:shd w:val="clear" w:color="auto" w:fill="FFFFFF"/>
                <w:lang w:eastAsia="en-GB"/>
              </w:rPr>
              <w:t>From Care Homes in Redbridge or Outside of Redbridge - Redbridge MyLife Contact Form or via Telephone to First Contact Service on 02087087333 (for social care) and 020 870 82318 (for Health Referrals)</w:t>
            </w:r>
          </w:p>
          <w:p w14:paraId="3B5BBE91" w14:textId="77777777" w:rsidR="00265A3D" w:rsidRDefault="00265A3D" w:rsidP="00265A3D">
            <w:pPr>
              <w:numPr>
                <w:ilvl w:val="1"/>
                <w:numId w:val="13"/>
              </w:numPr>
              <w:spacing w:after="140" w:line="252" w:lineRule="auto"/>
              <w:contextualSpacing/>
              <w:rPr>
                <w:rFonts w:eastAsia="Times New Roman"/>
                <w:shd w:val="clear" w:color="auto" w:fill="FFFFFF"/>
                <w:lang w:eastAsia="en-GB"/>
              </w:rPr>
            </w:pPr>
            <w:r w:rsidRPr="009C3FC7">
              <w:rPr>
                <w:rFonts w:eastAsia="Times New Roman"/>
                <w:shd w:val="clear" w:color="auto" w:fill="FFFFFF"/>
                <w:lang w:eastAsia="en-GB"/>
              </w:rPr>
              <w:lastRenderedPageBreak/>
              <w:t xml:space="preserve">From any Mental Health Units/Forensic Services in or </w:t>
            </w:r>
            <w:proofErr w:type="gramStart"/>
            <w:r w:rsidRPr="009C3FC7">
              <w:rPr>
                <w:rFonts w:eastAsia="Times New Roman"/>
                <w:shd w:val="clear" w:color="auto" w:fill="FFFFFF"/>
                <w:lang w:eastAsia="en-GB"/>
              </w:rPr>
              <w:t>Outside</w:t>
            </w:r>
            <w:proofErr w:type="gramEnd"/>
            <w:r w:rsidRPr="009C3FC7">
              <w:rPr>
                <w:rFonts w:eastAsia="Times New Roman"/>
                <w:shd w:val="clear" w:color="auto" w:fill="FFFFFF"/>
                <w:lang w:eastAsia="en-GB"/>
              </w:rPr>
              <w:t xml:space="preserve"> of Redbridge - Redbridge MyLife Contact Form or via Telephone to First Contact Service on 02087087333 (for social care) and 020 870 82318 (for Health Referrals</w:t>
            </w:r>
            <w:r>
              <w:rPr>
                <w:rFonts w:eastAsia="Times New Roman"/>
                <w:color w:val="000000"/>
                <w:shd w:val="clear" w:color="auto" w:fill="FFFFFF"/>
                <w:lang w:eastAsia="en-GB"/>
              </w:rPr>
              <w:t>)</w:t>
            </w:r>
          </w:p>
          <w:p w14:paraId="3931915F" w14:textId="323EBBB7" w:rsidR="003E707F" w:rsidRDefault="003E707F" w:rsidP="00265A3D">
            <w:pPr>
              <w:pStyle w:val="NoSpacing"/>
            </w:pPr>
          </w:p>
        </w:tc>
      </w:tr>
    </w:tbl>
    <w:p w14:paraId="67681B81" w14:textId="0E124D78" w:rsidR="00880A8C" w:rsidRDefault="00880A8C"/>
    <w:sectPr w:rsidR="00880A8C" w:rsidSect="00E131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36D"/>
    <w:multiLevelType w:val="hybridMultilevel"/>
    <w:tmpl w:val="792AB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E4186"/>
    <w:multiLevelType w:val="hybridMultilevel"/>
    <w:tmpl w:val="CBCE2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340244"/>
    <w:multiLevelType w:val="hybridMultilevel"/>
    <w:tmpl w:val="27A07470"/>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3" w15:restartNumberingAfterBreak="0">
    <w:nsid w:val="2452166B"/>
    <w:multiLevelType w:val="hybridMultilevel"/>
    <w:tmpl w:val="98BAA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DA5630"/>
    <w:multiLevelType w:val="hybridMultilevel"/>
    <w:tmpl w:val="466898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1AF064D"/>
    <w:multiLevelType w:val="hybridMultilevel"/>
    <w:tmpl w:val="BDB08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2E6889"/>
    <w:multiLevelType w:val="hybridMultilevel"/>
    <w:tmpl w:val="1E26D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8549AF"/>
    <w:multiLevelType w:val="hybridMultilevel"/>
    <w:tmpl w:val="0F6CF2B0"/>
    <w:lvl w:ilvl="0" w:tplc="020CBD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A4729B"/>
    <w:multiLevelType w:val="hybridMultilevel"/>
    <w:tmpl w:val="035C5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51095A"/>
    <w:multiLevelType w:val="hybridMultilevel"/>
    <w:tmpl w:val="42D8A4DA"/>
    <w:lvl w:ilvl="0" w:tplc="5978E394">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3C71C55"/>
    <w:multiLevelType w:val="hybridMultilevel"/>
    <w:tmpl w:val="EC729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721663"/>
    <w:multiLevelType w:val="hybridMultilevel"/>
    <w:tmpl w:val="227C6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0990012">
    <w:abstractNumId w:val="5"/>
  </w:num>
  <w:num w:numId="2" w16cid:durableId="1071392661">
    <w:abstractNumId w:val="8"/>
  </w:num>
  <w:num w:numId="3" w16cid:durableId="1078668414">
    <w:abstractNumId w:val="6"/>
  </w:num>
  <w:num w:numId="4" w16cid:durableId="734552258">
    <w:abstractNumId w:val="7"/>
  </w:num>
  <w:num w:numId="5" w16cid:durableId="1550070276">
    <w:abstractNumId w:val="11"/>
  </w:num>
  <w:num w:numId="6" w16cid:durableId="451242104">
    <w:abstractNumId w:val="10"/>
  </w:num>
  <w:num w:numId="7" w16cid:durableId="1397364069">
    <w:abstractNumId w:val="0"/>
  </w:num>
  <w:num w:numId="8" w16cid:durableId="2067679674">
    <w:abstractNumId w:val="1"/>
  </w:num>
  <w:num w:numId="9" w16cid:durableId="590284733">
    <w:abstractNumId w:val="3"/>
  </w:num>
  <w:num w:numId="10" w16cid:durableId="20377351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69930472">
    <w:abstractNumId w:val="2"/>
  </w:num>
  <w:num w:numId="12" w16cid:durableId="1431778731">
    <w:abstractNumId w:val="4"/>
  </w:num>
  <w:num w:numId="13" w16cid:durableId="15913496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74C"/>
    <w:rsid w:val="000018A8"/>
    <w:rsid w:val="00011792"/>
    <w:rsid w:val="000859B7"/>
    <w:rsid w:val="000A2CDC"/>
    <w:rsid w:val="000C6BFD"/>
    <w:rsid w:val="000D3139"/>
    <w:rsid w:val="000F6C80"/>
    <w:rsid w:val="00102F3A"/>
    <w:rsid w:val="001B6477"/>
    <w:rsid w:val="001C537A"/>
    <w:rsid w:val="001F05A8"/>
    <w:rsid w:val="001F49A0"/>
    <w:rsid w:val="00224474"/>
    <w:rsid w:val="002357EB"/>
    <w:rsid w:val="00253808"/>
    <w:rsid w:val="00265A3D"/>
    <w:rsid w:val="00273421"/>
    <w:rsid w:val="00286E28"/>
    <w:rsid w:val="002B51A0"/>
    <w:rsid w:val="003A6CE2"/>
    <w:rsid w:val="003A7F79"/>
    <w:rsid w:val="003E2011"/>
    <w:rsid w:val="003E327C"/>
    <w:rsid w:val="003E707F"/>
    <w:rsid w:val="003E7738"/>
    <w:rsid w:val="00415825"/>
    <w:rsid w:val="00425724"/>
    <w:rsid w:val="004622BA"/>
    <w:rsid w:val="004634EE"/>
    <w:rsid w:val="004777F5"/>
    <w:rsid w:val="004B786C"/>
    <w:rsid w:val="004C64FB"/>
    <w:rsid w:val="0054486C"/>
    <w:rsid w:val="00557478"/>
    <w:rsid w:val="005B313C"/>
    <w:rsid w:val="005B6849"/>
    <w:rsid w:val="005F3452"/>
    <w:rsid w:val="006700AC"/>
    <w:rsid w:val="0069472C"/>
    <w:rsid w:val="00694ED1"/>
    <w:rsid w:val="006A6989"/>
    <w:rsid w:val="006B54B5"/>
    <w:rsid w:val="006B54DC"/>
    <w:rsid w:val="006E2785"/>
    <w:rsid w:val="006E35AA"/>
    <w:rsid w:val="00705D22"/>
    <w:rsid w:val="007065C4"/>
    <w:rsid w:val="0077051D"/>
    <w:rsid w:val="0079446A"/>
    <w:rsid w:val="007B1576"/>
    <w:rsid w:val="007B6159"/>
    <w:rsid w:val="007D564C"/>
    <w:rsid w:val="00826212"/>
    <w:rsid w:val="008352B4"/>
    <w:rsid w:val="00880A8C"/>
    <w:rsid w:val="00882EDD"/>
    <w:rsid w:val="008E5773"/>
    <w:rsid w:val="009119C3"/>
    <w:rsid w:val="00923420"/>
    <w:rsid w:val="00933DC5"/>
    <w:rsid w:val="00936A2E"/>
    <w:rsid w:val="009A2F32"/>
    <w:rsid w:val="009B4CA5"/>
    <w:rsid w:val="009C3FC7"/>
    <w:rsid w:val="00A46731"/>
    <w:rsid w:val="00AA333C"/>
    <w:rsid w:val="00AA7F7E"/>
    <w:rsid w:val="00B054C8"/>
    <w:rsid w:val="00B149BB"/>
    <w:rsid w:val="00B21A08"/>
    <w:rsid w:val="00B25772"/>
    <w:rsid w:val="00B43982"/>
    <w:rsid w:val="00B8495B"/>
    <w:rsid w:val="00BA137E"/>
    <w:rsid w:val="00BA7E89"/>
    <w:rsid w:val="00C10172"/>
    <w:rsid w:val="00C14CFE"/>
    <w:rsid w:val="00C460FA"/>
    <w:rsid w:val="00C6767D"/>
    <w:rsid w:val="00C96319"/>
    <w:rsid w:val="00CD3FCC"/>
    <w:rsid w:val="00CD5C11"/>
    <w:rsid w:val="00D062D2"/>
    <w:rsid w:val="00D22F4B"/>
    <w:rsid w:val="00D243A3"/>
    <w:rsid w:val="00D34659"/>
    <w:rsid w:val="00D51228"/>
    <w:rsid w:val="00D612B2"/>
    <w:rsid w:val="00D65F9E"/>
    <w:rsid w:val="00D904A3"/>
    <w:rsid w:val="00D932CC"/>
    <w:rsid w:val="00DE7295"/>
    <w:rsid w:val="00E1312B"/>
    <w:rsid w:val="00E159BB"/>
    <w:rsid w:val="00E501A9"/>
    <w:rsid w:val="00E7057F"/>
    <w:rsid w:val="00E85EC0"/>
    <w:rsid w:val="00ED4BC8"/>
    <w:rsid w:val="00EF2D4A"/>
    <w:rsid w:val="00F1774C"/>
    <w:rsid w:val="00F60B6F"/>
    <w:rsid w:val="00FC6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BFD11"/>
  <w15:chartTrackingRefBased/>
  <w15:docId w15:val="{680A5B50-F7AE-4E0D-B3E7-7A0CD2D0B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86C"/>
    <w:pPr>
      <w:spacing w:after="0" w:line="240" w:lineRule="auto"/>
    </w:pPr>
    <w:rPr>
      <w:rFonts w:ascii="Calibri" w:hAnsi="Calibri" w:cs="Calibri"/>
    </w:rPr>
  </w:style>
  <w:style w:type="paragraph" w:styleId="Heading2">
    <w:name w:val="heading 2"/>
    <w:basedOn w:val="Normal"/>
    <w:next w:val="Normal"/>
    <w:link w:val="Heading2Char"/>
    <w:uiPriority w:val="9"/>
    <w:unhideWhenUsed/>
    <w:qFormat/>
    <w:rsid w:val="0022447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774C"/>
    <w:pPr>
      <w:spacing w:after="0" w:line="240" w:lineRule="auto"/>
    </w:pPr>
  </w:style>
  <w:style w:type="character" w:styleId="CommentReference">
    <w:name w:val="annotation reference"/>
    <w:basedOn w:val="DefaultParagraphFont"/>
    <w:uiPriority w:val="99"/>
    <w:semiHidden/>
    <w:unhideWhenUsed/>
    <w:rsid w:val="00F1774C"/>
    <w:rPr>
      <w:sz w:val="16"/>
      <w:szCs w:val="16"/>
    </w:rPr>
  </w:style>
  <w:style w:type="paragraph" w:styleId="CommentText">
    <w:name w:val="annotation text"/>
    <w:basedOn w:val="Normal"/>
    <w:link w:val="CommentTextChar"/>
    <w:uiPriority w:val="99"/>
    <w:unhideWhenUsed/>
    <w:rsid w:val="00F1774C"/>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1774C"/>
    <w:rPr>
      <w:sz w:val="20"/>
      <w:szCs w:val="20"/>
    </w:rPr>
  </w:style>
  <w:style w:type="paragraph" w:styleId="CommentSubject">
    <w:name w:val="annotation subject"/>
    <w:basedOn w:val="CommentText"/>
    <w:next w:val="CommentText"/>
    <w:link w:val="CommentSubjectChar"/>
    <w:uiPriority w:val="99"/>
    <w:semiHidden/>
    <w:unhideWhenUsed/>
    <w:rsid w:val="00F1774C"/>
    <w:rPr>
      <w:b/>
      <w:bCs/>
    </w:rPr>
  </w:style>
  <w:style w:type="character" w:customStyle="1" w:styleId="CommentSubjectChar">
    <w:name w:val="Comment Subject Char"/>
    <w:basedOn w:val="CommentTextChar"/>
    <w:link w:val="CommentSubject"/>
    <w:uiPriority w:val="99"/>
    <w:semiHidden/>
    <w:rsid w:val="00F1774C"/>
    <w:rPr>
      <w:b/>
      <w:bCs/>
      <w:sz w:val="20"/>
      <w:szCs w:val="20"/>
    </w:rPr>
  </w:style>
  <w:style w:type="paragraph" w:styleId="BalloonText">
    <w:name w:val="Balloon Text"/>
    <w:basedOn w:val="Normal"/>
    <w:link w:val="BalloonTextChar"/>
    <w:uiPriority w:val="99"/>
    <w:semiHidden/>
    <w:unhideWhenUsed/>
    <w:rsid w:val="00F177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74C"/>
    <w:rPr>
      <w:rFonts w:ascii="Segoe UI" w:hAnsi="Segoe UI" w:cs="Segoe UI"/>
      <w:sz w:val="18"/>
      <w:szCs w:val="18"/>
    </w:rPr>
  </w:style>
  <w:style w:type="character" w:styleId="Hyperlink">
    <w:name w:val="Hyperlink"/>
    <w:basedOn w:val="DefaultParagraphFont"/>
    <w:uiPriority w:val="99"/>
    <w:unhideWhenUsed/>
    <w:rsid w:val="00F1774C"/>
    <w:rPr>
      <w:color w:val="0563C1" w:themeColor="hyperlink"/>
      <w:u w:val="single"/>
    </w:rPr>
  </w:style>
  <w:style w:type="character" w:styleId="UnresolvedMention">
    <w:name w:val="Unresolved Mention"/>
    <w:basedOn w:val="DefaultParagraphFont"/>
    <w:uiPriority w:val="99"/>
    <w:semiHidden/>
    <w:unhideWhenUsed/>
    <w:rsid w:val="00F1774C"/>
    <w:rPr>
      <w:color w:val="808080"/>
      <w:shd w:val="clear" w:color="auto" w:fill="E6E6E6"/>
    </w:rPr>
  </w:style>
  <w:style w:type="paragraph" w:styleId="ListParagraph">
    <w:name w:val="List Paragraph"/>
    <w:basedOn w:val="Normal"/>
    <w:uiPriority w:val="34"/>
    <w:qFormat/>
    <w:rsid w:val="00011792"/>
    <w:pPr>
      <w:spacing w:after="160" w:line="259" w:lineRule="auto"/>
      <w:ind w:left="720"/>
      <w:contextualSpacing/>
    </w:pPr>
    <w:rPr>
      <w:rFonts w:asciiTheme="minorHAnsi" w:hAnsiTheme="minorHAnsi" w:cstheme="minorBidi"/>
    </w:rPr>
  </w:style>
  <w:style w:type="character" w:styleId="FollowedHyperlink">
    <w:name w:val="FollowedHyperlink"/>
    <w:basedOn w:val="DefaultParagraphFont"/>
    <w:uiPriority w:val="99"/>
    <w:semiHidden/>
    <w:unhideWhenUsed/>
    <w:rsid w:val="00011792"/>
    <w:rPr>
      <w:color w:val="954F72" w:themeColor="followedHyperlink"/>
      <w:u w:val="single"/>
    </w:rPr>
  </w:style>
  <w:style w:type="table" w:styleId="TableGrid">
    <w:name w:val="Table Grid"/>
    <w:basedOn w:val="TableNormal"/>
    <w:uiPriority w:val="39"/>
    <w:rsid w:val="00D06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A7E8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224474"/>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826212"/>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12929">
      <w:bodyDiv w:val="1"/>
      <w:marLeft w:val="0"/>
      <w:marRight w:val="0"/>
      <w:marTop w:val="0"/>
      <w:marBottom w:val="0"/>
      <w:divBdr>
        <w:top w:val="none" w:sz="0" w:space="0" w:color="auto"/>
        <w:left w:val="none" w:sz="0" w:space="0" w:color="auto"/>
        <w:bottom w:val="none" w:sz="0" w:space="0" w:color="auto"/>
        <w:right w:val="none" w:sz="0" w:space="0" w:color="auto"/>
      </w:divBdr>
    </w:div>
    <w:div w:id="209809020">
      <w:bodyDiv w:val="1"/>
      <w:marLeft w:val="0"/>
      <w:marRight w:val="0"/>
      <w:marTop w:val="0"/>
      <w:marBottom w:val="0"/>
      <w:divBdr>
        <w:top w:val="none" w:sz="0" w:space="0" w:color="auto"/>
        <w:left w:val="none" w:sz="0" w:space="0" w:color="auto"/>
        <w:bottom w:val="none" w:sz="0" w:space="0" w:color="auto"/>
        <w:right w:val="none" w:sz="0" w:space="0" w:color="auto"/>
      </w:divBdr>
    </w:div>
    <w:div w:id="269972109">
      <w:bodyDiv w:val="1"/>
      <w:marLeft w:val="0"/>
      <w:marRight w:val="0"/>
      <w:marTop w:val="0"/>
      <w:marBottom w:val="0"/>
      <w:divBdr>
        <w:top w:val="none" w:sz="0" w:space="0" w:color="auto"/>
        <w:left w:val="none" w:sz="0" w:space="0" w:color="auto"/>
        <w:bottom w:val="none" w:sz="0" w:space="0" w:color="auto"/>
        <w:right w:val="none" w:sz="0" w:space="0" w:color="auto"/>
      </w:divBdr>
    </w:div>
    <w:div w:id="576937271">
      <w:bodyDiv w:val="1"/>
      <w:marLeft w:val="0"/>
      <w:marRight w:val="0"/>
      <w:marTop w:val="0"/>
      <w:marBottom w:val="0"/>
      <w:divBdr>
        <w:top w:val="none" w:sz="0" w:space="0" w:color="auto"/>
        <w:left w:val="none" w:sz="0" w:space="0" w:color="auto"/>
        <w:bottom w:val="none" w:sz="0" w:space="0" w:color="auto"/>
        <w:right w:val="none" w:sz="0" w:space="0" w:color="auto"/>
      </w:divBdr>
      <w:divsChild>
        <w:div w:id="1917668896">
          <w:marLeft w:val="547"/>
          <w:marRight w:val="0"/>
          <w:marTop w:val="0"/>
          <w:marBottom w:val="0"/>
          <w:divBdr>
            <w:top w:val="none" w:sz="0" w:space="0" w:color="auto"/>
            <w:left w:val="none" w:sz="0" w:space="0" w:color="auto"/>
            <w:bottom w:val="none" w:sz="0" w:space="0" w:color="auto"/>
            <w:right w:val="none" w:sz="0" w:space="0" w:color="auto"/>
          </w:divBdr>
        </w:div>
        <w:div w:id="1812822911">
          <w:marLeft w:val="547"/>
          <w:marRight w:val="0"/>
          <w:marTop w:val="0"/>
          <w:marBottom w:val="0"/>
          <w:divBdr>
            <w:top w:val="none" w:sz="0" w:space="0" w:color="auto"/>
            <w:left w:val="none" w:sz="0" w:space="0" w:color="auto"/>
            <w:bottom w:val="none" w:sz="0" w:space="0" w:color="auto"/>
            <w:right w:val="none" w:sz="0" w:space="0" w:color="auto"/>
          </w:divBdr>
        </w:div>
        <w:div w:id="700403868">
          <w:marLeft w:val="547"/>
          <w:marRight w:val="0"/>
          <w:marTop w:val="0"/>
          <w:marBottom w:val="0"/>
          <w:divBdr>
            <w:top w:val="none" w:sz="0" w:space="0" w:color="auto"/>
            <w:left w:val="none" w:sz="0" w:space="0" w:color="auto"/>
            <w:bottom w:val="none" w:sz="0" w:space="0" w:color="auto"/>
            <w:right w:val="none" w:sz="0" w:space="0" w:color="auto"/>
          </w:divBdr>
        </w:div>
        <w:div w:id="62609742">
          <w:marLeft w:val="547"/>
          <w:marRight w:val="0"/>
          <w:marTop w:val="0"/>
          <w:marBottom w:val="0"/>
          <w:divBdr>
            <w:top w:val="none" w:sz="0" w:space="0" w:color="auto"/>
            <w:left w:val="none" w:sz="0" w:space="0" w:color="auto"/>
            <w:bottom w:val="none" w:sz="0" w:space="0" w:color="auto"/>
            <w:right w:val="none" w:sz="0" w:space="0" w:color="auto"/>
          </w:divBdr>
        </w:div>
        <w:div w:id="515969469">
          <w:marLeft w:val="547"/>
          <w:marRight w:val="0"/>
          <w:marTop w:val="0"/>
          <w:marBottom w:val="0"/>
          <w:divBdr>
            <w:top w:val="none" w:sz="0" w:space="0" w:color="auto"/>
            <w:left w:val="none" w:sz="0" w:space="0" w:color="auto"/>
            <w:bottom w:val="none" w:sz="0" w:space="0" w:color="auto"/>
            <w:right w:val="none" w:sz="0" w:space="0" w:color="auto"/>
          </w:divBdr>
        </w:div>
        <w:div w:id="52313563">
          <w:marLeft w:val="547"/>
          <w:marRight w:val="0"/>
          <w:marTop w:val="0"/>
          <w:marBottom w:val="0"/>
          <w:divBdr>
            <w:top w:val="none" w:sz="0" w:space="0" w:color="auto"/>
            <w:left w:val="none" w:sz="0" w:space="0" w:color="auto"/>
            <w:bottom w:val="none" w:sz="0" w:space="0" w:color="auto"/>
            <w:right w:val="none" w:sz="0" w:space="0" w:color="auto"/>
          </w:divBdr>
        </w:div>
      </w:divsChild>
    </w:div>
    <w:div w:id="676884096">
      <w:bodyDiv w:val="1"/>
      <w:marLeft w:val="0"/>
      <w:marRight w:val="0"/>
      <w:marTop w:val="0"/>
      <w:marBottom w:val="0"/>
      <w:divBdr>
        <w:top w:val="none" w:sz="0" w:space="0" w:color="auto"/>
        <w:left w:val="none" w:sz="0" w:space="0" w:color="auto"/>
        <w:bottom w:val="none" w:sz="0" w:space="0" w:color="auto"/>
        <w:right w:val="none" w:sz="0" w:space="0" w:color="auto"/>
      </w:divBdr>
    </w:div>
    <w:div w:id="720130192">
      <w:bodyDiv w:val="1"/>
      <w:marLeft w:val="0"/>
      <w:marRight w:val="0"/>
      <w:marTop w:val="0"/>
      <w:marBottom w:val="0"/>
      <w:divBdr>
        <w:top w:val="none" w:sz="0" w:space="0" w:color="auto"/>
        <w:left w:val="none" w:sz="0" w:space="0" w:color="auto"/>
        <w:bottom w:val="none" w:sz="0" w:space="0" w:color="auto"/>
        <w:right w:val="none" w:sz="0" w:space="0" w:color="auto"/>
      </w:divBdr>
    </w:div>
    <w:div w:id="818810972">
      <w:bodyDiv w:val="1"/>
      <w:marLeft w:val="0"/>
      <w:marRight w:val="0"/>
      <w:marTop w:val="0"/>
      <w:marBottom w:val="0"/>
      <w:divBdr>
        <w:top w:val="none" w:sz="0" w:space="0" w:color="auto"/>
        <w:left w:val="none" w:sz="0" w:space="0" w:color="auto"/>
        <w:bottom w:val="none" w:sz="0" w:space="0" w:color="auto"/>
        <w:right w:val="none" w:sz="0" w:space="0" w:color="auto"/>
      </w:divBdr>
    </w:div>
    <w:div w:id="967517986">
      <w:bodyDiv w:val="1"/>
      <w:marLeft w:val="0"/>
      <w:marRight w:val="0"/>
      <w:marTop w:val="0"/>
      <w:marBottom w:val="0"/>
      <w:divBdr>
        <w:top w:val="none" w:sz="0" w:space="0" w:color="auto"/>
        <w:left w:val="none" w:sz="0" w:space="0" w:color="auto"/>
        <w:bottom w:val="none" w:sz="0" w:space="0" w:color="auto"/>
        <w:right w:val="none" w:sz="0" w:space="0" w:color="auto"/>
      </w:divBdr>
    </w:div>
    <w:div w:id="1031564901">
      <w:bodyDiv w:val="1"/>
      <w:marLeft w:val="0"/>
      <w:marRight w:val="0"/>
      <w:marTop w:val="0"/>
      <w:marBottom w:val="0"/>
      <w:divBdr>
        <w:top w:val="none" w:sz="0" w:space="0" w:color="auto"/>
        <w:left w:val="none" w:sz="0" w:space="0" w:color="auto"/>
        <w:bottom w:val="none" w:sz="0" w:space="0" w:color="auto"/>
        <w:right w:val="none" w:sz="0" w:space="0" w:color="auto"/>
      </w:divBdr>
    </w:div>
    <w:div w:id="1076781282">
      <w:bodyDiv w:val="1"/>
      <w:marLeft w:val="0"/>
      <w:marRight w:val="0"/>
      <w:marTop w:val="0"/>
      <w:marBottom w:val="0"/>
      <w:divBdr>
        <w:top w:val="none" w:sz="0" w:space="0" w:color="auto"/>
        <w:left w:val="none" w:sz="0" w:space="0" w:color="auto"/>
        <w:bottom w:val="none" w:sz="0" w:space="0" w:color="auto"/>
        <w:right w:val="none" w:sz="0" w:space="0" w:color="auto"/>
      </w:divBdr>
    </w:div>
    <w:div w:id="1077440135">
      <w:bodyDiv w:val="1"/>
      <w:marLeft w:val="0"/>
      <w:marRight w:val="0"/>
      <w:marTop w:val="0"/>
      <w:marBottom w:val="0"/>
      <w:divBdr>
        <w:top w:val="none" w:sz="0" w:space="0" w:color="auto"/>
        <w:left w:val="none" w:sz="0" w:space="0" w:color="auto"/>
        <w:bottom w:val="none" w:sz="0" w:space="0" w:color="auto"/>
        <w:right w:val="none" w:sz="0" w:space="0" w:color="auto"/>
      </w:divBdr>
    </w:div>
    <w:div w:id="1177498645">
      <w:bodyDiv w:val="1"/>
      <w:marLeft w:val="0"/>
      <w:marRight w:val="0"/>
      <w:marTop w:val="0"/>
      <w:marBottom w:val="0"/>
      <w:divBdr>
        <w:top w:val="none" w:sz="0" w:space="0" w:color="auto"/>
        <w:left w:val="none" w:sz="0" w:space="0" w:color="auto"/>
        <w:bottom w:val="none" w:sz="0" w:space="0" w:color="auto"/>
        <w:right w:val="none" w:sz="0" w:space="0" w:color="auto"/>
      </w:divBdr>
    </w:div>
    <w:div w:id="1227181422">
      <w:bodyDiv w:val="1"/>
      <w:marLeft w:val="0"/>
      <w:marRight w:val="0"/>
      <w:marTop w:val="0"/>
      <w:marBottom w:val="0"/>
      <w:divBdr>
        <w:top w:val="none" w:sz="0" w:space="0" w:color="auto"/>
        <w:left w:val="none" w:sz="0" w:space="0" w:color="auto"/>
        <w:bottom w:val="none" w:sz="0" w:space="0" w:color="auto"/>
        <w:right w:val="none" w:sz="0" w:space="0" w:color="auto"/>
      </w:divBdr>
    </w:div>
    <w:div w:id="1875655947">
      <w:bodyDiv w:val="1"/>
      <w:marLeft w:val="0"/>
      <w:marRight w:val="0"/>
      <w:marTop w:val="0"/>
      <w:marBottom w:val="0"/>
      <w:divBdr>
        <w:top w:val="none" w:sz="0" w:space="0" w:color="auto"/>
        <w:left w:val="none" w:sz="0" w:space="0" w:color="auto"/>
        <w:bottom w:val="none" w:sz="0" w:space="0" w:color="auto"/>
        <w:right w:val="none" w:sz="0" w:space="0" w:color="auto"/>
      </w:divBdr>
    </w:div>
    <w:div w:id="1918436997">
      <w:bodyDiv w:val="1"/>
      <w:marLeft w:val="0"/>
      <w:marRight w:val="0"/>
      <w:marTop w:val="0"/>
      <w:marBottom w:val="0"/>
      <w:divBdr>
        <w:top w:val="none" w:sz="0" w:space="0" w:color="auto"/>
        <w:left w:val="none" w:sz="0" w:space="0" w:color="auto"/>
        <w:bottom w:val="none" w:sz="0" w:space="0" w:color="auto"/>
        <w:right w:val="none" w:sz="0" w:space="0" w:color="auto"/>
      </w:divBdr>
    </w:div>
    <w:div w:id="2043240456">
      <w:bodyDiv w:val="1"/>
      <w:marLeft w:val="0"/>
      <w:marRight w:val="0"/>
      <w:marTop w:val="0"/>
      <w:marBottom w:val="0"/>
      <w:divBdr>
        <w:top w:val="none" w:sz="0" w:space="0" w:color="auto"/>
        <w:left w:val="none" w:sz="0" w:space="0" w:color="auto"/>
        <w:bottom w:val="none" w:sz="0" w:space="0" w:color="auto"/>
        <w:right w:val="none" w:sz="0" w:space="0" w:color="auto"/>
      </w:divBdr>
    </w:div>
    <w:div w:id="2097626040">
      <w:bodyDiv w:val="1"/>
      <w:marLeft w:val="0"/>
      <w:marRight w:val="0"/>
      <w:marTop w:val="0"/>
      <w:marBottom w:val="0"/>
      <w:divBdr>
        <w:top w:val="none" w:sz="0" w:space="0" w:color="auto"/>
        <w:left w:val="none" w:sz="0" w:space="0" w:color="auto"/>
        <w:bottom w:val="none" w:sz="0" w:space="0" w:color="auto"/>
        <w:right w:val="none" w:sz="0" w:space="0" w:color="auto"/>
      </w:divBdr>
    </w:div>
    <w:div w:id="212180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m-tr.redbridge.paediatrics@nhs.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mylife.redbridge.gov.uk/form/contact_for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ylife.redbridge.gov.uk/social-care-charges/" TargetMode="External"/><Relationship Id="rId11" Type="http://schemas.openxmlformats.org/officeDocument/2006/relationships/hyperlink" Target="https://find.redbridge.gov.uk/kb5/redbridge/fsd/localoffer.page?localofferchannel=0" TargetMode="External"/><Relationship Id="rId5" Type="http://schemas.openxmlformats.org/officeDocument/2006/relationships/webSettings" Target="webSettings.xml"/><Relationship Id="rId10" Type="http://schemas.openxmlformats.org/officeDocument/2006/relationships/hyperlink" Target="https://mylife.redbridge.gov.uk/homepage" TargetMode="External"/><Relationship Id="rId4" Type="http://schemas.openxmlformats.org/officeDocument/2006/relationships/settings" Target="settings.xml"/><Relationship Id="rId9" Type="http://schemas.openxmlformats.org/officeDocument/2006/relationships/hyperlink" Target="https://find.redbridge.gov.uk/kb5/redbridge/fsd/localoffer.page?localofferchanne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9CE9F-DBB7-45FD-8162-B37B63CBE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1972</Words>
  <Characters>11245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Black</dc:creator>
  <cp:keywords/>
  <dc:description/>
  <cp:lastModifiedBy>Miraj Ali</cp:lastModifiedBy>
  <cp:revision>2</cp:revision>
  <dcterms:created xsi:type="dcterms:W3CDTF">2023-08-22T19:31:00Z</dcterms:created>
  <dcterms:modified xsi:type="dcterms:W3CDTF">2023-08-22T19:31:00Z</dcterms:modified>
</cp:coreProperties>
</file>